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KMZÜV — Anwendungsbereich</w:t>
      </w:r>
    </w:p>
    <w:p>
      <w:r>
        <w:rPr>
          <w:color w:val="555555"/>
          <w:sz w:val="18"/>
        </w:rPr>
        <w:t xml:space="preserve">Kryptomärktezulassungsüberführungs-Verordnung</w:t>
      </w:r>
    </w:p>
    <w:p>
      <w:r>
        <w:rPr>
          <w:color w:val="555555"/>
          <w:sz w:val="18"/>
        </w:rPr>
        <w:t xml:space="preserve">Historische Fassung: Stand 13.04.2025 bis 01.01.2026. Dies ist nicht die aktuelle Fassung.</w:t>
      </w:r>
    </w:p>
    <w:p>
      <w:r>
        <w:t xml:space="preserve">Diese Rechtsverordnung regelt das Verfahren nach Artikel 143 Absatz 6 der Verordnung (EU) 2023/1114 des Europäischen Parlaments und des Rates vom 31. Mai 2023 über Märkte für Kryptowerte und zur Änderung der Verordnungen (EU) Nr. 1093/2010 und (EU) Nr. 1095/2010 sowie der Richtlinien 2013/36/EU und (EU) 2019/1937 (ABl. L 150 vom 9.6.2023, S. 40), die durch die Verordnung (EU) 2023/2869 (ABl. L, 2023/2869, 20.12.2023) geändert worden ist, in Verbindung mit § 50 Absatz 3 des Kryptomärkteaufsichtsgesetzes zur Erteilung einer Zulassung zur Erbringung von Kryptowerte-Dienstleistungen (vereinfachtes Verfahren).</w:t>
      </w:r>
    </w:p>
    <w:p>
      <w:r>
        <w:rPr>
          <w:color w:val="555555"/>
          <w:sz w:val="17"/>
        </w:rPr>
        <w:t xml:space="preserve">Zitiervorschlag: § 1 KMZÜV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https://recht.nulegal.eu/gesetze/KMZ%C3%9CV/1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