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KMMV — Anforderungen an den Mindestinhalt einer Aufschubmitteilung nach Artikel 88 Absatz 3 der Verordnung (EU) 2023/1114</w:t>
      </w:r>
    </w:p>
    <w:p>
      <w:r>
        <w:rPr>
          <w:color w:val="555555"/>
          <w:sz w:val="18"/>
        </w:rPr>
        <w:t xml:space="preserve">Kryptomärktemitteilungs-Verordnung</w:t>
      </w:r>
    </w:p>
    <w:p>
      <w:r>
        <w:rPr>
          <w:color w:val="555555"/>
          <w:sz w:val="18"/>
        </w:rPr>
        <w:t xml:space="preserve">Stand: 29.08.2025 (konsolidierte Textfassung, kein amtliches Inkrafttretensdatum)</w:t>
      </w:r>
    </w:p>
    <w:p>
      <w:r>
        <w:t xml:space="preserve">(1) Die Aufschubmitteilung nach Artikel 88 Absatz 3 Satz 1 der Verordnung (EU) 2023/1114 hat in Ergänzung zu den Vorschriften der Durchführungsverordnung (EU) 2024/2861 folgende Angaben zu enthalten:</w:t>
      </w:r>
    </w:p>
    <w:p>
      <w:pPr>
        <w:ind w:left="420"/>
      </w:pPr>
      <w:r>
        <w:t xml:space="preserve">1. alle Zeitpunkte, an denen der Fortbestand der Gründe überprüft wurde,</w:t>
      </w:r>
    </w:p>
    <w:p>
      <w:pPr>
        <w:ind w:left="420"/>
      </w:pPr>
      <w:r>
        <w:t xml:space="preserve">2. den Vor- und Familiennamen sowie</w:t>
      </w:r>
    </w:p>
    <w:p>
      <w:pPr>
        <w:ind w:left="420"/>
      </w:pPr>
      <w:r>
        <w:t xml:space="preserve">3. die Geschäftsanschriften und geschäftlichen Telefonnummern und E-Mail-Adressen aller Personen, die an der Entscheidung über den Aufschub beteiligt waren.</w:t>
      </w:r>
    </w:p>
    <w:p>
      <w:r>
        <w:t xml:space="preserve">(2) § 3 gilt für die Art und Weise der Übermittlung von Aufschubmitteilungen nach Absatz 1 an die Bundesanstalt entsprechend.</w:t>
      </w:r>
    </w:p>
    <w:p>
      <w:r>
        <w:rPr>
          <w:color w:val="555555"/>
          <w:sz w:val="17"/>
        </w:rPr>
        <w:t xml:space="preserve">Zitiervorschlag: § 4 KMMV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https://recht.nulegal.eu/gesetze/KMMV/4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