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KMMV — Inhalt der Mitteilung nach § 36 Absatz 1 des Kryptomärkteaufsichtsgesetzes</w:t>
      </w:r>
    </w:p>
    <w:p>
      <w:r>
        <w:rPr>
          <w:color w:val="555555"/>
          <w:sz w:val="18"/>
        </w:rPr>
        <w:t xml:space="preserve">Kryptomärktemitteilungs-Verordnung</w:t>
      </w:r>
    </w:p>
    <w:p>
      <w:r>
        <w:rPr>
          <w:color w:val="555555"/>
          <w:sz w:val="18"/>
        </w:rPr>
        <w:t xml:space="preserve">Stand: 29.08.2025 (konsolidierte Textfassung, kein amtliches Inkrafttretensdatum)</w:t>
      </w:r>
    </w:p>
    <w:p>
      <w:r>
        <w:t xml:space="preserve">In der Mitteilung nach § 36 Absatz 1 des Kryptomärkteaufsichtsgesetzes sind anzugeben:</w:t>
      </w:r>
    </w:p>
    <w:p>
      <w:pPr>
        <w:ind w:left="420"/>
      </w:pPr>
      <w:r>
        <w:t xml:space="preserve">1. der Wortlaut, der Zeitpunkt und die konkreten Medienkanäle der Veröffentlichung nach Artikel 88 Absatz 1 der Verordnung (EU) 2023/1114 sowie</w:t>
      </w:r>
    </w:p>
    <w:p>
      <w:pPr>
        <w:ind w:left="420"/>
      </w:pPr>
      <w:r>
        <w:t xml:space="preserve">2. ein Ansprechpartner beim Emittenten, Anbieter oder bei der Person, die die Zulassung zum Handel beantragt, mit Telefonnummer und E-Mail-Adresse.</w:t>
      </w:r>
    </w:p>
    <w:p>
      <w:r>
        <w:rPr>
          <w:color w:val="555555"/>
          <w:sz w:val="17"/>
        </w:rPr>
        <w:t xml:space="preserve">Zitiervorschlag: § 2 KMMV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https://recht.nulegal.eu/gesetze/KMMV/2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