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KMMV — Anwendungsbereich</w:t>
      </w:r>
    </w:p>
    <w:p>
      <w:r>
        <w:rPr>
          <w:color w:val="555555"/>
          <w:sz w:val="18"/>
        </w:rPr>
        <w:t xml:space="preserve">Kryptomärktemitteilungs-Verordnung</w:t>
      </w:r>
    </w:p>
    <w:p>
      <w:r>
        <w:rPr>
          <w:color w:val="555555"/>
          <w:sz w:val="18"/>
        </w:rPr>
        <w:t xml:space="preserve">Stand: 29.08.2025 (konsolidierte Textfassung, kein amtliches Inkrafttretensdatum)</w:t>
      </w:r>
    </w:p>
    <w:p>
      <w:r>
        <w:t xml:space="preserve">Diese Verordnung ist anzuwenden auf:</w:t>
      </w:r>
    </w:p>
    <w:p>
      <w:pPr>
        <w:ind w:left="420"/>
      </w:pPr>
      <w:r>
        <w:t xml:space="preserve">1. den Mindestinhalt, die Art, die Sprache, den Umfang und die Form sowie die Art und Weise einer Übermittlung von Insiderinformationen nach § 36 Absatz 1 des Kryptomärkteaufsichtsgesetzes und</w:t>
      </w:r>
    </w:p>
    <w:p>
      <w:pPr>
        <w:ind w:left="420"/>
      </w:pPr>
      <w:r>
        <w:t xml:space="preserve">2. die Art und Weise der Übermittlung nach Artikel 3 Absatz 1 Unterabsatz 3 der Durchführungsverordnung (EU) 2024/2861 sowie den Mindestinhalt der Information über den Aufschub der Offenlegung von Insiderinformationen (Aufschubmitteilung) nach Artikel 88 Absatz 3 der Verordnung (EU) 2023/1114.</w:t>
      </w:r>
    </w:p>
    <w:p>
      <w:r>
        <w:rPr>
          <w:color w:val="555555"/>
          <w:sz w:val="17"/>
        </w:rPr>
        <w:t xml:space="preserve">Zitiervorschlag: § 1 KMMV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