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Eingangsformel KMAnzV</w:t>
      </w:r>
    </w:p>
    <w:p>
      <w:r>
        <w:rPr>
          <w:color w:val="555555"/>
          <w:sz w:val="18"/>
        </w:rPr>
        <w:t xml:space="preserve">Kryptomärkteanzeigenverordnung</w:t>
      </w:r>
    </w:p>
    <w:p>
      <w:r>
        <w:rPr>
          <w:color w:val="555555"/>
          <w:sz w:val="18"/>
        </w:rPr>
        <w:t xml:space="preserve">Stand: 01.07.2026 (konsolidierte Textfassung, kein amtliches Inkrafttretensdatum)</w:t>
      </w:r>
    </w:p>
    <w:p>
      <w:r>
        <w:t xml:space="preserve">Die Bundesanstalt für Finanzdienstleistungsaufsicht verordnet aufgrund des § 1g Nummer 1 der Verordnung zur Übertragung von Befugnissen zum Erlass von Rechtsverordnungen auf die Bundesanstalt für Finanzdienstleistungsaufsicht vom 13. Dezember 2002 (BGBl. 2003 I S. 3), die zuletzt durch Artikel 27 Absatz 3 des Gesetzes vom 25. März 2026 (BGBl. 2026 I Nr. 81) geändert worden ist, im Einvernehmen mit der Deutschen Bundesbank:</w:t>
      </w:r>
    </w:p>
    <w:p>
      <w:r>
        <w:rPr>
          <w:color w:val="555555"/>
          <w:sz w:val="17"/>
        </w:rPr>
        <w:t xml:space="preserve">Zitiervorschlag: Eingangsformel KMAnzV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https://recht.nulegal.eu/gesetze/KMAnzV/eingangsformel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