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KMAnzV — Inkrafttreten</w:t>
      </w:r>
    </w:p>
    <w:p>
      <w:r>
        <w:rPr>
          <w:color w:val="555555"/>
          <w:sz w:val="18"/>
        </w:rPr>
        <w:t xml:space="preserve">Kryptomärkteanzeigenverordnung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Diese Verordnung tritt am 1. Juli 2026 in Kraft.</w:t>
      </w:r>
    </w:p>
    <w:p>
      <w:r>
        <w:rPr>
          <w:color w:val="555555"/>
          <w:sz w:val="17"/>
        </w:rPr>
        <w:t xml:space="preserve">Zitiervorschlag: § 9 KMAnzV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https://recht.nulegal.eu/gesetze/KMAnzV/9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