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KMAnzV — Vorlage von Jahresabschluss, Lagebericht und Abschlussprüfungsberichten</w:t>
      </w:r>
    </w:p>
    <w:p>
      <w:r>
        <w:rPr>
          <w:color w:val="555555"/>
          <w:sz w:val="18"/>
        </w:rPr>
        <w:t xml:space="preserve">Kryptomärkteanzeigenverordnung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Wird der Jahresabschluss ohne Änderungen festgestellt, so genügt die Mitteilung hierüber mit dem Datum des Tages der Feststellung; die Einreichung des festgestellten Jahresabschlusses ist in diesem Fall nicht erforderlich.</w:t>
      </w:r>
    </w:p>
    <w:p>
      <w:r>
        <w:rPr>
          <w:color w:val="555555"/>
          <w:sz w:val="17"/>
        </w:rPr>
        <w:t xml:space="preserve">Zitiervorschlag: § 8 KMAnzV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https://recht.nulegal.eu/gesetze/KMAnzV/8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