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KMAnzV — Einreichungsverfahren</w:t>
      </w:r>
    </w:p>
    <w:p>
      <w:r>
        <w:rPr>
          <w:color w:val="555555"/>
          <w:sz w:val="18"/>
        </w:rPr>
        <w:t xml:space="preserve">Kryptomärkteanzeigenverordnung</w:t>
      </w:r>
    </w:p>
    <w:p>
      <w:r>
        <w:rPr>
          <w:color w:val="555555"/>
          <w:sz w:val="18"/>
        </w:rPr>
        <w:t xml:space="preserve">Stand: 01.07.2026 (konsolidierte Textfassung, kein amtliches Inkrafttretensdatum)</w:t>
      </w:r>
    </w:p>
    <w:p>
      <w:r>
        <w:t xml:space="preserve">(1) Die Anzeigen und die Unterlagen, die nach dem Kryptomärkteaufsichtsgesetz zu erstatten oder vorzulegen sind, sind vorbehaltlich abweichender Bestimmungen jeweils in einfacher Ausfertigung der Bundesanstalt für Finanzdienstleistungsaufsicht (Bundesanstalt) und der für das Institut zuständigen Hauptverwaltung der Deutschen Bundesbank einzureichen.</w:t>
      </w:r>
    </w:p>
    <w:p>
      <w:r>
        <w:t xml:space="preserve">(2) Anzeigen, Unterlagen und Erklärungen können bei der Bundesanstalt und der für das Institut zuständigen Hauptverwaltung der Deutschen Bundesbank auch ganz oder teilweise in englischer Sprache eingereicht werden. Die Bundesanstalt kann jederzeit die Vorlage einer Übersetzung oder in begründeten Fällen einer beglaubigten oder von einem öffentlich bestellten oder beeidigten Dolmetscher oder Übersetzer angefertigten Übersetzung verlangen. § 23 Absatz 2 Satz 3 und 4 des Verwaltungsverfahrensgesetzes gilt entsprechend. Sofern die Bundesanstalt eine Übersetzung verlangt, ist allein die deutschsprachige Fassung rechtlich maßgeblich.</w:t>
      </w:r>
    </w:p>
    <w:p>
      <w:r>
        <w:t xml:space="preserve">(3) Wenn Institute nach Artikel 59 Absatz 1 Buchstabe b der Verordnung (EU) 2023/1114 zweckgleiche Anzeigen nach einer anderen Verordnung oder einem anderen Gesetz einzureichen haben und nicht gemäß § 21 Absatz 6 des Kryptomärkteaufsichtsgesetzes ausgenommen sind, so haben sie zusätzlich zu den nach den anderen Verordnungen oder Gesetzen einzureichenden Anzeigen lediglich die Anzeigen nach § 2 dieser Verordnung einzureichen.</w:t>
      </w:r>
    </w:p>
    <w:p>
      <w:r>
        <w:t xml:space="preserve">(4) Auf Verlangen der Bundesanstalt oder der Deutschen Bundesbank sind Anzeigen und Unterlagen elektronisch einzureichen. Die Bundesanstalt und die Deutsche Bundesbank informieren jeweils auf ihren Internetseiten über die elektronischen Einreichungswege. Im Rahmen der Bestimmungen zur elektronischen Einreichung können die Deutsche Bundesbank oder die Bundesanstalt auf die in Formularen vorgesehenen Unterschriften verzichten. Formulare können durch Erfassungsmasken oder vorgegebene Satzformate der Bundesanstalt oder der Deutschen Bundesbank ersetzt werden. Im gegenseitigen Einvernehmen können die Bundesanstalt und die Deutsche Bundesbank im Rahmen der elektronischen Einreichung bestimmter Anzeigen oder der Vorlage bestimmter Unterlagen nach dem Kryptomärkteaufsichtsgesetz festlegen, dass diese lediglich bei einer der beiden Behörden zu erfolgen hat.</w:t>
      </w:r>
    </w:p>
    <w:p>
      <w:r>
        <w:rPr>
          <w:color w:val="555555"/>
          <w:sz w:val="17"/>
        </w:rPr>
        <w:t xml:space="preserve">Zitiervorschlag: § 1 KMAnzV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https://recht.nulegal.eu/gesetze/KMAnzV/1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