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KMAG — Zusammenarbeit mit sonstigen Stellen</w:t>
      </w:r>
    </w:p>
    <w:p>
      <w:r>
        <w:rPr>
          <w:color w:val="555555"/>
          <w:sz w:val="18"/>
        </w:rPr>
        <w:t xml:space="preserve">Kryptomärkteaufsichtsgesetz</w:t>
      </w:r>
    </w:p>
    <w:p>
      <w:r>
        <w:rPr>
          <w:color w:val="555555"/>
          <w:sz w:val="18"/>
        </w:rPr>
        <w:t xml:space="preserve">Stand: 28.12.2024 (konsolidierte Textfassung, kein amtliches Inkrafttretensdatum)</w:t>
      </w:r>
    </w:p>
    <w:p>
      <w:r>
        <w:t xml:space="preserve">(1) Die Bundesanstalt und die Deutsche Bundesbank arbeiten im Rahmen ihrer Tätigkeit nach der Verordnung (EU) 2023/1114 und diesem Gesetz mit den Börsenaufsichtsbehörden, den Handelsüberwachungsstellen, den Bundeskartellbehörden, den Landeskartellbehörden, der Zentralstelle für Finanztransaktionsuntersuchungen, der Zentralstelle für Sanktionsdurchsetzung und dem Bundesamt für Sicherheit in der Informationstechnik zusammen, soweit dies zur Erfüllung ihrer Aufgaben erforderlich ist. Die in Satz 1 genannten Institutionen haben einander Beobachtungen und Feststellungen einschließlich der personenbezogenen Daten mitzuteilen, die für die Erfüllung ihrer Aufgaben erforderlich sind.</w:t>
      </w:r>
    </w:p>
    <w:p>
      <w:r>
        <w:t xml:space="preserve">(2) Soweit nicht Artikel 95, 96 oder Artikel 98 der Verordnung (EU) 2023/1114 eine Regelung zur internationalen Zusammenarbeit trifft, gelten in Bezug auf die Aufsicht nach Titel VI der Verordnung (EU) 2023/1114 der § 18 des Wertpapierhandelsgesetzes und im Übrigen die §§ 7a bis 8 des Kreditwesengesetzes jeweils entsprechend.</w:t>
      </w:r>
    </w:p>
    <w:p>
      <w:r>
        <w:rPr>
          <w:color w:val="555555"/>
          <w:sz w:val="17"/>
        </w:rPr>
        <w:t xml:space="preserve">Zitiervorschlag: § 7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