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KMAG — Übergangsvorschrift zur Rechnungslegung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09.01.2025 (konsolidierte Textfassung, kein amtliches Inkrafttretensdatum)</w:t>
      </w:r>
    </w:p>
    <w:p>
      <w:r>
        <w:t xml:space="preserve">§ 37 ist erstmals anzuwenden auf Rechnungslegungsunterlagen für ein nach dem 30. Juni 2024 beginnendes Geschäftsjahr. § 40 Absatz 1 Satz 3 Nummer 5 ist erstmals anzuwenden auf Rechnungslegungsunterlagen für ein nach dem 31. Dezember 2024 beginnendes Geschäftsjahr.</w:t>
      </w:r>
    </w:p>
    <w:p>
      <w:r>
        <w:rPr>
          <w:color w:val="555555"/>
          <w:sz w:val="17"/>
        </w:rPr>
        <w:t xml:space="preserve">Zitiervorschlag: § 51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