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KMAG — Sofortige Vollziehbarkeit</w:t>
      </w:r>
    </w:p>
    <w:p>
      <w:r>
        <w:rPr>
          <w:color w:val="555555"/>
          <w:sz w:val="18"/>
        </w:rPr>
        <w:t xml:space="preserve">Kryptomärkteaufsichtsgesetz</w:t>
      </w:r>
    </w:p>
    <w:p>
      <w:r>
        <w:rPr>
          <w:color w:val="555555"/>
          <w:sz w:val="18"/>
        </w:rPr>
        <w:t xml:space="preserve">Stand: 09.01.2025 (konsolidierte Textfassung, kein amtliches Inkrafttretensdatum)</w:t>
      </w:r>
    </w:p>
    <w:p>
      <w:r>
        <w:t xml:space="preserve">(1) Widerspruch und Anfechtungsklage gegen Maßnahmen, einschließlich der Androhung und Festsetzung von Zwangsmitteln, auf der Grundlage des Artikels 4 Absatz 3 Unterabsatz 4, des Artikels 12 Absatz 3, des Artikels 17 Absatz 5 Unterabsatz 3, des Artikels 22 Absatz 2, des Artikels 23 Absatz 4 Satz 2, des Artikels 24 Absatz 1 Buchstabe b bis e und g, Absatz 2, 3 und 5, des Artikels 25 Absatz 4 Unterabsatz 1 und 2, des Artikels 35 Absatz 3, 4 und 5 Satz 2, des Artikels 36 Absatz 10 Satz 3, des Artikels 46 Absatz 2 Satz 2, Absatz 3 und 4, des Artikels 47 Absatz 1 und 3 Satz 2, des Artikels 58 Absatz 2, des Artikels 64 Absatz 1 Buchstabe d bis g und Absatz 2, des Artikels 68 Absatz 3, des Artikels 102 Absatz 2 und des Artikels 105 der Verordnung (EU) 2023/1114 haben keine aufschiebende Wirkung.</w:t>
      </w:r>
    </w:p>
    <w:p>
      <w:r>
        <w:t xml:space="preserve">(2) Widerspruch und Anfechtungsklage gegen Maßnahmen, einschließlich der Androhung und Festsetzung von Zwangsmitteln, auf der Grundlage der §§ 4, 9 und 10, 12 und 13, 15 bis 18, 20, 22 bis 25, 27 bis 31, 34, 36, 39 und 41 bis 43 haben keine aufschiebende Wirkung.</w:t>
      </w:r>
    </w:p>
    <w:p>
      <w:r>
        <w:rPr>
          <w:color w:val="555555"/>
          <w:sz w:val="17"/>
        </w:rPr>
        <w:t xml:space="preserve">Zitiervorschlag: § 5 KMAG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