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KMAG — Strafvorschriften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(1) Mit Freiheitsstrafe bis zu fünf Jahren oder mit Geldstrafe wird bestraft, wer gegen die Verordnung (EU) 2023/1114 des Europäischen Parlaments und des Rates vom 31. Mai 2023 über Märkte für Kryptowerte und zur Änderung der Verordnungen (EU) Nr. 1093/2010 und (EU) Nr. 1095/2010 sowie der Richtlinien 2013/36/EU und (EU) 2019/1937 (ABl. L 150 vom 9.6.2023, S. 40) verstößt, indem er</w:t>
      </w:r>
    </w:p>
    <w:p>
      <w:pPr>
        <w:ind w:left="420"/>
      </w:pPr>
      <w:r>
        <w:t xml:space="preserve">1. entgegen Artikel 16 Absatz 1 Unterabsatz 1 Buchstabe a einen vermögenswertreferenzierten Token öffentlich anbietet,</w:t>
      </w:r>
    </w:p>
    <w:p>
      <w:pPr>
        <w:ind w:left="420"/>
      </w:pPr>
      <w:r>
        <w:t xml:space="preserve">2. entgegen Artikel 48 Absatz 1 Unterabsatz 1 Buchstabe a einen E-Geld-Token öffentlich anbietet,</w:t>
      </w:r>
    </w:p>
    <w:p>
      <w:pPr>
        <w:ind w:left="420"/>
      </w:pPr>
      <w:r>
        <w:t xml:space="preserve">3. entgegen Artikel 59 Absatz 1 Buchstabe a Kryptowerte-Dienstleistungen erbringt,</w:t>
      </w:r>
    </w:p>
    <w:p>
      <w:pPr>
        <w:ind w:left="420"/>
      </w:pPr>
      <w:r>
        <w:t xml:space="preserve">4. entgegen Artikel 89 Absatz 2 Satz 1 ein Insidergeschäft tätigt oder eine dort genannte Insiderinformation nutzt,</w:t>
      </w:r>
    </w:p>
    <w:p>
      <w:pPr>
        <w:ind w:left="420"/>
      </w:pPr>
      <w:r>
        <w:t xml:space="preserve">5. entgegen Artikel 89 Absatz 2 Satz 2 oder Absatz 3 eine dort genannte Empfehlung gibt oder einen Dritten zu einer dort genannten Handlung verleitet oder</w:t>
      </w:r>
    </w:p>
    <w:p>
      <w:pPr>
        <w:ind w:left="420"/>
      </w:pPr>
      <w:r>
        <w:t xml:space="preserve">6. entgegen Artikel 90 Absatz 1 eine Insiderinformation offenlegt.</w:t>
      </w:r>
    </w:p>
    <w:p>
      <w:r>
        <w:t xml:space="preserve">(2) Ebenso wird bestraft, wer eine in § 47 Absatz 3 Nummer 113 bezeichnete vorsätzliche Handlung begeht und dadurch</w:t>
      </w:r>
    </w:p>
    <w:p>
      <w:pPr>
        <w:ind w:left="420"/>
      </w:pPr>
      <w:r>
        <w:t xml:space="preserve">1. den Kurs eines oder mehrerer Kryptowerte beeinflusst oder</w:t>
      </w:r>
    </w:p>
    <w:p>
      <w:pPr>
        <w:ind w:left="420"/>
      </w:pPr>
      <w:r>
        <w:t xml:space="preserve">2. eine unmittelbare oder mittelbare Festsetzung des Kauf- oder Verkaufskurses bewirkt.</w:t>
      </w:r>
    </w:p>
    <w:p>
      <w:r>
        <w:t xml:space="preserve">(3) Mit Freiheitsstrafe bis zu drei Jahren oder mit Geldstrafe wird bestraft, wer entgegen § 44 Absatz 1 Satz 1 eine Anzeige nicht, nicht richtig oder nicht rechtzeitig erstattet.</w:t>
      </w:r>
    </w:p>
    <w:p>
      <w:r>
        <w:t xml:space="preserve">(4) In den Fällen der Absätze 1 und 2 ist der Versuch strafbar.</w:t>
      </w:r>
    </w:p>
    <w:p>
      <w:r>
        <w:t xml:space="preserve">(5) Mit Freiheitsstrafe von einem Jahr bis zu zehn Jahren wird bestraft, wer in den Fällen des Absatzes 2</w:t>
      </w:r>
    </w:p>
    <w:p>
      <w:pPr>
        <w:ind w:left="420"/>
      </w:pPr>
      <w:r>
        <w:t xml:space="preserve">1. gewerbsmäßig und als Mitglied einer Bande, die sich zur fortgesetzten Begehung solcher Taten verbunden hat, handelt oder</w:t>
      </w:r>
    </w:p>
    <w:p>
      <w:pPr>
        <w:ind w:left="420"/>
      </w:pPr>
      <w:r>
        <w:t xml:space="preserve">2. in Ausübung seiner Tätigkeit für eine inländische Finanzaufsichtsbehörde, einen Emittenten vermögenswertreferenzierter Token oder E-Geld-Token oder einen Anbieter von Kryptowerte-Dienstleistungen handelt.</w:t>
      </w:r>
    </w:p>
    <w:p>
      <w:r>
        <w:t xml:space="preserve">(6) Handelt der Täter fahrlässig, so ist die Strafe in den Fällen des Absatzes 1 Nummer 1 bis 3 Freiheitsstrafe bis zu drei Jahren oder Geldstrafe und in den Fällen des Absatzes 3 Freiheitsstrafe bis zu einem Jahr oder Geldstrafe.</w:t>
      </w:r>
    </w:p>
    <w:p>
      <w:r>
        <w:t xml:space="preserve">(7) Die Strafvorschriften der §§ 331 bis 333 des Handelsgesetzbuches sind auch auf nicht in der Rechtsform einer Kapitalgesellschaft betriebene Institute nach § 37 Absatz 1 Satz 1, Absatz 2 Satz 1, Absatz 3 Satz 1 oder Absatz 4 Satz 1 dieses Gesetzes anzuwenden. Soweit die Strafvorschriften Mitglieder des vertretungsberechtigten Organs einer Kapitalgesellschaft betreffen, gelten sie</w:t>
      </w:r>
    </w:p>
    <w:p>
      <w:pPr>
        <w:ind w:left="420"/>
      </w:pPr>
      <w:r>
        <w:t xml:space="preserve">1. bei einer anderen juristischen Person für die Mitglieder des vertretungsberechtigten Organs der juristischen Person,</w:t>
      </w:r>
    </w:p>
    <w:p>
      <w:pPr>
        <w:ind w:left="420"/>
      </w:pPr>
      <w:r>
        <w:t xml:space="preserve">2. bei einer Personenhandelsgesellschaft nach § 264a Absatz 1 des Handelsgesetzbuches für die Mitglieder der vertretungsberechtigten Organe der persönlich haftenden Gesellschafter und</w:t>
      </w:r>
    </w:p>
    <w:p>
      <w:pPr>
        <w:ind w:left="420"/>
      </w:pPr>
      <w:r>
        <w:t xml:space="preserve">3. bei einer Personenhandelsgesellschaft, die nicht in Nummer 2 genannt ist, für die vertretungsberechtigten Gesellschafter.</w:t>
      </w:r>
    </w:p>
    <w:p>
      <w:r>
        <w:t xml:space="preserve">Soweit die Strafvorschriften Mitglieder des Aufsichtsrats einer Kapitalgesellschaft betreffen, gelten sie bei einer anderen juristischen Person für die Mitglieder eines gesetzlichen Überwachungsorgans.</w:t>
      </w:r>
    </w:p>
    <w:p>
      <w:r>
        <w:rPr>
          <w:color w:val="555555"/>
          <w:sz w:val="17"/>
        </w:rPr>
        <w:t xml:space="preserve">Zitiervorschlag: § 46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