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KMAG — Zuordnung verwahrter Kryptowerte, Kosten der Aussonderung</w:t>
      </w:r>
    </w:p>
    <w:p>
      <w:r>
        <w:rPr>
          <w:color w:val="555555"/>
          <w:sz w:val="18"/>
        </w:rPr>
        <w:t xml:space="preserve">Kryptomärkteaufsichtsgesetz</w:t>
      </w:r>
    </w:p>
    <w:p>
      <w:r>
        <w:rPr>
          <w:color w:val="555555"/>
          <w:sz w:val="18"/>
        </w:rPr>
        <w:t xml:space="preserve">Stand: 30.12.2024 (konsolidierte Textfassung, kein amtliches Inkrafttretensdatum)</w:t>
      </w:r>
    </w:p>
    <w:p>
      <w:r>
        <w:t xml:space="preserve">(1) Der im Rahmen der Kryptoverwahrung für einen Kunden verwahrte Kryptowert gilt als dem Kunden gehörig. Das gilt nicht, wenn der Kunde die Einwilligung zu Verfügungen über den verwahrten Wert für Rechnung des Instituts oder Dritter erteilt hat.</w:t>
      </w:r>
    </w:p>
    <w:p>
      <w:r>
        <w:t xml:space="preserve">(2) Absatz 1 gilt im Rahmen der Kryptoverwahrung entsprechend für den dem Kunden zustehenden Anteil an Kryptowerten in gemeinschaftlicher Verwahrung sowie für isoliert verwahrte private kryptografische Schlüssel.</w:t>
      </w:r>
    </w:p>
    <w:p>
      <w:r>
        <w:t xml:space="preserve">(3) Stimmt der Kunde im Insolvenzverfahren über das Vermögen des Instituts einer Aussonderung im Wege einer Übertragung des vom Institut verwahrten Gesamtbestands auf ein vom Insolvenzverwalter bestimmtes Institut, welches die Kryptoverwahrung betreibt, nicht zu, trägt er die Kosten der Aussonderung. Dies gilt nicht, wenn die Bedingungen, zu denen das andere Institut eine Fortführung des Verwahrverhältnisses anbietet, für den Kunden unzumutbar sind. Die Sätze 1 und 2 sind auf die Übertragung wesentlicher Teile des verwahrten Gesamtbestands entsprechend anzuwenden.</w:t>
      </w:r>
    </w:p>
    <w:p>
      <w:r>
        <w:rPr>
          <w:color w:val="555555"/>
          <w:sz w:val="17"/>
        </w:rPr>
        <w:t xml:space="preserve">Zitiervorschlag: § 45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