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KMAG — Maßnahmen zur Verbesserung der Eigenmittelausstattung</w:t>
      </w:r>
    </w:p>
    <w:p>
      <w:r>
        <w:rPr>
          <w:color w:val="555555"/>
          <w:sz w:val="18"/>
        </w:rPr>
        <w:t xml:space="preserve">Kryptomärkteaufsichtsgesetz</w:t>
      </w:r>
    </w:p>
    <w:p>
      <w:r>
        <w:rPr>
          <w:color w:val="555555"/>
          <w:sz w:val="18"/>
        </w:rPr>
        <w:t xml:space="preserve">Stand: 09.01.2025 (konsolidierte Textfassung, kein amtliches Inkrafttretensdatum)</w:t>
      </w:r>
    </w:p>
    <w:p>
      <w:r>
        <w:t xml:space="preserve">(1) Wenn die Vermögens-, Finanz- oder Ertragsentwicklung eines Instituts oder andere Umstände die Annahme rechtfertigen, dass das Institut den Vorgaben des Artikels 35 oder des Artikels 67 der Verordnung (EU) 2023/1114 nicht erfüllt oder zukünftig voraussichtlich nicht erfüllen wird, kann die Bundesanstalt gegenüber dem Institut Maßnahmen zur dauerhaften Erfüllung der Vorgaben anordnen.</w:t>
      </w:r>
    </w:p>
    <w:p>
      <w:r>
        <w:t xml:space="preserve">(2) Die Bundesanstalt kann insbesondere</w:t>
      </w:r>
    </w:p>
    <w:p>
      <w:pPr>
        <w:ind w:left="420"/>
      </w:pPr>
      <w:r>
        <w:t xml:space="preserve">1. Entnahmen durch die Inhaber oder Gesellschafter sowie die Ausschüttung von Gewinnen untersagen oder beschränken,</w:t>
      </w:r>
    </w:p>
    <w:p>
      <w:pPr>
        <w:ind w:left="420"/>
      </w:pPr>
      <w:r>
        <w:t xml:space="preserve">2. anordnen, dass das Institut Maßnahmen zur Verringerung von Risiken ergreift, soweit sich diese Risiken aus bestimmten Arten von Geschäften und Produkten ergeben, oder</w:t>
      </w:r>
    </w:p>
    <w:p>
      <w:pPr>
        <w:ind w:left="420"/>
      </w:pPr>
      <w:r>
        <w:t xml:space="preserve">3. anordnen, dass das Institut eine oder mehrere Handlungsoptionen aus dem Sanierungsplan nach Artikel 46 oder Artikel 55 der Verordnung (EU) 2023/1114 umsetzt.</w:t>
      </w:r>
    </w:p>
    <w:p>
      <w:r>
        <w:rPr>
          <w:color w:val="555555"/>
          <w:sz w:val="17"/>
        </w:rPr>
        <w:t xml:space="preserve">Zitiervorschlag: § 41 KMAG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