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KMAG — Übermittlung von Insiderinformationen; Verordnungsermächtigung</w:t>
      </w:r>
    </w:p>
    <w:p>
      <w:r>
        <w:rPr>
          <w:color w:val="555555"/>
          <w:sz w:val="18"/>
        </w:rPr>
        <w:t xml:space="preserve">Kryptomärkteaufsichtsgesetz</w:t>
      </w:r>
    </w:p>
    <w:p>
      <w:r>
        <w:rPr>
          <w:color w:val="555555"/>
          <w:sz w:val="18"/>
        </w:rPr>
        <w:t xml:space="preserve">Stand: 30.12.2024 (konsolidierte Textfassung, kein amtliches Inkrafttretensdatum)</w:t>
      </w:r>
    </w:p>
    <w:p>
      <w:r>
        <w:t xml:space="preserve">(1) Ein Emittent, Anbieter oder Antragsteller, der nach Artikel 88 Absatz 1 der Verordnung (EU) 2023/1114 verpflichtet ist, Insiderinformationen zu veröffentlichen und für den oder die die Bundesrepublik Deutschland Herkunftsmitgliedstaat nach Artikel 3 Absatz 1 Nummer 33 der Verordnung (EU) 2023/1114 ist, hat diese Insiderinformationen unverzüglich nach ihrer Veröffentlichung der Bundesanstalt zu übermitteln.</w:t>
      </w:r>
    </w:p>
    <w:p>
      <w:r>
        <w:t xml:space="preserve">(2) Das Bundesministerium der Finanzen kann im Benehmen mit der Deutschen Bundesbank durch Rechtsverordnung, die nicht der Zustimmung des Bundesrates bedarf, nähere Bestimmungen erlassen über</w:t>
      </w:r>
    </w:p>
    <w:p>
      <w:r>
        <w:t xml:space="preserve">1.den Mindestinhalt, die Art, die Sprache, den Umfang und die Form sowie die Art und Weise einer Übermittlung nach Absatz 1 sowie</w:t>
      </w:r>
    </w:p>
    <w:p>
      <w:r>
        <w:t xml:space="preserve">2.den Mindestinhalt einer Mitteilung nach Artikel 88 Absatz 3 der Verordnung (EU) 2023/1114.</w:t>
      </w:r>
    </w:p>
    <w:p>
      <w:r>
        <w:t xml:space="preserve">Das Bundesministerium der Finanzen kann diese Ermächtigung durch Rechtsverordnung auf die Bundesanstalt mit der Maßgabe übertragen, dass diese Rechtsverordnung im Einvernehmen mit der Deutschen Bundesbank ergeht.</w:t>
      </w:r>
    </w:p>
    <w:p>
      <w:r>
        <w:rPr>
          <w:color w:val="555555"/>
          <w:sz w:val="17"/>
        </w:rPr>
        <w:t xml:space="preserve">Zitiervorschlag: § 36 KMAG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https://recht.nulegal.eu/gesetze/KMAG/36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