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KMAG — Anzeige straftatbegründender Tatsachen</w:t>
      </w:r>
    </w:p>
    <w:p>
      <w:r>
        <w:rPr>
          <w:color w:val="555555"/>
          <w:sz w:val="18"/>
        </w:rPr>
        <w:t xml:space="preserve">Kryptomärkteaufsichtsgesetz</w:t>
      </w:r>
    </w:p>
    <w:p>
      <w:r>
        <w:rPr>
          <w:color w:val="555555"/>
          <w:sz w:val="18"/>
        </w:rPr>
        <w:t xml:space="preserve">Stand: 30.12.2024 (konsolidierte Textfassung, kein amtliches Inkrafttretensdatum)</w:t>
      </w:r>
    </w:p>
    <w:p>
      <w:r>
        <w:t xml:space="preserve">Die Bundesanstalt hat Tatsachen, die den Verdacht einer Straftat nach § 46 Absatz 1 Nummer 4 bis 6 oder Absatz 2 begründen, der zuständigen Staatsanwaltschaft unverzüglich anzuzeigen. Sie kann die personenbezogenen Daten der betroffenen Personen, gegen die sich der Verdacht richtet oder die als Zeugen in Betracht kommen, der Staatsanwaltschaft übermitteln, soweit dies für Zwecke der Strafverfolgung erforderlich ist. Die Staatsanwaltschaft entscheidet über die Vornahme der erforderlichen Ermittlungsmaßnahmen, insbesondere über Durchsuchungen, nach den Vorschriften der Strafprozessordnung. Die Befugnisse der Bundesanstalt bleiben hiervon unberührt, soweit dies für die Vornahme von Verwaltungsmaßnahmen oder zur Erfüllung von Ersuchen ausländischer Stellen nach Artikel 95 Absatz 3 bis 5 der Verordnung (EU) 2023/1114 erforderlich ist und soweit eine Gefährdung des Untersuchungszwecks von Ermittlungen der Strafverfolgungsbehörden oder der für Strafsachen zuständigen Gerichte nicht zu besorgen ist.</w:t>
      </w:r>
    </w:p>
    <w:p>
      <w:r>
        <w:rPr>
          <w:color w:val="555555"/>
          <w:sz w:val="17"/>
        </w:rPr>
        <w:t xml:space="preserve">Zitiervorschlag: § 33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