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KMAG — Bekanntmachung wesentlicher Informationen zu Anbietern von Kryptowerte-Dienstleistungen</w:t>
      </w:r>
    </w:p>
    <w:p>
      <w:r>
        <w:rPr>
          <w:color w:val="555555"/>
          <w:sz w:val="18"/>
        </w:rPr>
        <w:t xml:space="preserve">Kryptomärkteaufsichtsgesetz</w:t>
      </w:r>
    </w:p>
    <w:p>
      <w:r>
        <w:rPr>
          <w:color w:val="555555"/>
          <w:sz w:val="18"/>
        </w:rPr>
        <w:t xml:space="preserve">Stand: 30.12.2024 (konsolidierte Textfassung, kein amtliches Inkrafttretensdatum)</w:t>
      </w:r>
    </w:p>
    <w:p>
      <w:r>
        <w:t xml:space="preserve">Die Bundesanstalt kann zur Gewährleistung des Schutzes der Interessen der Kunden von Anbietern von Kryptowerte-Dienstleistungen, insbesondere der Kleinanleger, oder des reibungslosen Funktionierens des Marktes alle wesentlichen Informationen, die die Erbringung der Kryptowerte-Dienstleistungen beeinflussen können, bekannt machen oder vom Anbieter der Kryptowerte-Dienstleistung die Bekanntmachung dieser Informationen verlangen. Die Kosten, die der Bundesanstalt durch die in Satz 1 vorgenommene Bekanntmachung entstehen, sind ihr von dem Anbieter der Kryptowerte-Dienstleistung gesondert zu erstatten und auf Verlangen der Bundesanstalt vorzuschießen.</w:t>
      </w:r>
    </w:p>
    <w:p>
      <w:r>
        <w:rPr>
          <w:color w:val="555555"/>
          <w:sz w:val="17"/>
        </w:rPr>
        <w:t xml:space="preserve">Zitiervorschlag: § 30 KMAG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