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KMAG — Aufgaben der Bundesanstalt</w:t>
      </w:r>
    </w:p>
    <w:p>
      <w:r>
        <w:rPr>
          <w:color w:val="555555"/>
          <w:sz w:val="18"/>
        </w:rPr>
        <w:t xml:space="preserve">Kryptomärkteaufsichtsgesetz</w:t>
      </w:r>
    </w:p>
    <w:p>
      <w:r>
        <w:rPr>
          <w:color w:val="555555"/>
          <w:sz w:val="18"/>
        </w:rPr>
        <w:t xml:space="preserve">Stand: 14.03.2026 (konsolidierte Textfassung, kein amtliches Inkrafttretensdatum)</w:t>
      </w:r>
    </w:p>
    <w:p>
      <w:r>
        <w:t xml:space="preserve">(1) Die Bundesanstalt ist zuständige Behörde im Sinne des Artikels 93 Absatz 1 der Verordnung (EU) 2023/1114. Sie übt die Aufsicht aus</w:t>
      </w:r>
    </w:p>
    <w:p>
      <w:pPr>
        <w:ind w:left="420"/>
      </w:pPr>
      <w:r>
        <w:t xml:space="preserve">1. über Institute und sonstige Unternehmen, die den Vorschriften der Verordnung (EU) 2023/1114 und dieses Gesetzes unterworfen sind, sowie</w:t>
      </w:r>
    </w:p>
    <w:p>
      <w:pPr>
        <w:ind w:left="420"/>
      </w:pPr>
      <w:r>
        <w:t xml:space="preserve">2. über den Handel an Handelsplätzen für Kryptowerte nach den Vorschriften der Verordnung (EU) 2023/1114 sowie dieses Gesetzes.</w:t>
      </w:r>
    </w:p>
    <w:p>
      <w:r>
        <w:t xml:space="preserve">Die Deutsche Bundesbank ist zuständige Stelle im Rahmen der ihr nach § 6 zugewiesenen Aufgaben. Die Bundesanstalt hat Missständen in Kryptomärkten entgegenzuwirken, welche die Sicherheit der anvertrauten Vermögenswerte gefährden können oder das ordnungsgemäße öffentliche Angebot, die ordnungsgemäße Zulassung von Kryptowerten zum Handel, den ordnungsgemäßen Handel auf einer Handelsplattform für Kryptowerte oder das ordnungsgemäße Angebot von Kryptowerte-Dienstleistungen beeinträchtigen können oder erhebliche Nachteile für die Gesamtwirtschaft oder den Finanzmarkt herbeiführen können.</w:t>
      </w:r>
    </w:p>
    <w:p>
      <w:r>
        <w:t xml:space="preserve">(2) Für Institute, die in den Anwendungsbereich der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fallen, ist die Bundesanstalt zuständige Behörde nach Artikel 46 der Verordnung (EU) 2022/2554. Bei der Durchführung der Aufgaben nach den Artikeln 26 und 27 der Verordnung (EU) 2022/2554 wirkt die Bundesanstalt mit der Deutschen Bundesbank zusammen. Die Deutsche Bundesbank nimmt die operativen Aufgaben nach den Artikeln 26 und 27 der Verordnung (EU) 2022/2554 wahr. § 6 Absatz 3 und 4 gilt entsprechend.</w:t>
      </w:r>
    </w:p>
    <w:p>
      <w:r>
        <w:t xml:space="preserve">(3) Die Bundesanstalt überwacht die Einhaltung der in der Verordnung (EU) 2023/1113, in der Verordnung (EU) Nr. 2021/1230 des Europäischen Parlaments und des Rates vom 14. Juli 2021 über grenzüberschreitende Zahlungen in der Union (ABl. L 274 vom 30.7.2021, S. 20), in der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zuletzt durch die Verordnung (EU) Nr. 248/2014 (ABl. L 84 vom 20.3.2014, S. 1) geändert worden ist, und in der Verordnung (EU) 2015/751 des Europäischen Parlaments und des Rates vom 29. April 2015 über Interbankenentgelte für kartengebundene Zahlungsvorgänge (ABl. L 123 vom 19.5.2015, S. 1) enthaltenen Pflichten durch die Institute. Sie kann gegenüber einem Institut und den Mitgliedern seines Leitungsorgans Anordnungen treffen, die geeignet und erforderlich sind, um Verstöße gegen die Pflichten nach den Verordnungen nach Satz 1 zu verhindern oder zu unterbinden. Satz 2 gilt nicht für CRR-Kreditinstitute, E-Geld-Institute und Anbieter von Kryptowerte-Dienstleistungen nach Artikel 59 Absatz 1 Buchstabe b der Verordnung (EU) 2023/1114.</w:t>
      </w:r>
    </w:p>
    <w:p>
      <w:r>
        <w:rPr>
          <w:color w:val="555555"/>
          <w:sz w:val="17"/>
        </w:rPr>
        <w:t xml:space="preserve">Zitiervorschlag: § 3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