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KMAG — Aussetzung und Untersagung der Erbringung von Kryptowerte-Dienstleistungen; Einschreiten bei Erbringung von Kryptowerte-Dienstleistungen entgegen Artikel 60 der Verordnung (EU) 2023/1114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30.12.2024 (konsolidierte Textfassung, kein amtliches Inkrafttretensdatum)</w:t>
      </w:r>
    </w:p>
    <w:p>
      <w:r>
        <w:t xml:space="preserve">(1) Die Bundesanstalt kann gegenüber Anbietern von Kryptowerte-Dienstleistungen anordnen, dass diese Anbieter ihre Tätigkeit auszusetzen haben, wenn</w:t>
      </w:r>
    </w:p>
    <w:p>
      <w:pPr>
        <w:ind w:left="420"/>
      </w:pPr>
      <w:r>
        <w:t xml:space="preserve">1. ein hinreichend begründeter Verdacht besteht, dass gegen die Verordnung (EU) 2023/1114 oder dieses Gesetz verstoßen worden ist,</w:t>
      </w:r>
    </w:p>
    <w:p>
      <w:pPr>
        <w:ind w:left="420"/>
      </w:pPr>
      <w:r>
        <w:t xml:space="preserve">2. ein Verstoß des Anbieters von Kryptowerte-Dienstleistungen gegen einen der Artikel 88 bis 92 der Verordnung (EU) 2023/1114 vorliegt oder</w:t>
      </w:r>
    </w:p>
    <w:p>
      <w:pPr>
        <w:ind w:left="420"/>
      </w:pPr>
      <w:r>
        <w:t xml:space="preserve">3. Tatsachen die Annahme rechtfertigen, dass die Erbringung der Kryptowerte-Dienstleistungen angesichts der Lage des Anbieters der Kryptowerte-Dienstleistungen den Interessen der Kunden, insbesondere der Kleinanleger, abträglich wäre.</w:t>
      </w:r>
    </w:p>
    <w:p>
      <w:r>
        <w:t xml:space="preserve">Im Falle des Satzes 1 Nummer 1 darf die Aussetzung 30 Tage nicht überschreiten.</w:t>
      </w:r>
    </w:p>
    <w:p>
      <w:r>
        <w:t xml:space="preserve">(2) Die Bundesanstalt kann die Erbringung von Kryptowerte-Dienstleistungen untersagen, wenn sie feststellt, dass gegen die Verordnung (EU) 2023/1114 oder dieses Gesetz verstoßen worden ist.</w:t>
      </w:r>
    </w:p>
    <w:p>
      <w:r>
        <w:t xml:space="preserve">(3) Erbringen ein CRR-Kreditinstitut, ein Zentralverwahrer, ein Wertpapierinstitut, ein Finanzdienstleistungsinstitut, ein E-Geld-Institut, eine OGAW-Verwaltungsgesellschaft oder ein Verwalter alternativer Investmentfonds nach Artikel 59 Absatz 1 Buchstabe b der Verordnung (EU) 2023/1114 Kryptowerte-Dienstleistungen, ohne der Bundesanstalt 40 Tage vor der erstmaligen Erbringung dieser Kryptowerte-Dienstleistungen die nach Artikel 60 Absatz 7 der Verordnung (EU) 2023/1114 erforderlichen Informationen übermittelt zu haben, kann die Bundesanstalt die Einstellung der Erbringung dieser Kryptowerte-Dienstleistungen anordnen.</w:t>
      </w:r>
    </w:p>
    <w:p>
      <w:r>
        <w:rPr>
          <w:color w:val="555555"/>
          <w:sz w:val="17"/>
        </w:rPr>
        <w:t xml:space="preserve">Zitiervorschlag: § 29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