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KMAG — Mindeststückelung; Betragsbegrenzung</w:t>
      </w:r>
    </w:p>
    <w:p>
      <w:r>
        <w:rPr>
          <w:color w:val="555555"/>
          <w:sz w:val="18"/>
        </w:rPr>
        <w:t xml:space="preserve">Kryptomärkteaufsichtsgesetz</w:t>
      </w:r>
    </w:p>
    <w:p>
      <w:r>
        <w:rPr>
          <w:color w:val="555555"/>
          <w:sz w:val="18"/>
        </w:rPr>
        <w:t xml:space="preserve">Stand: 28.12.2024 (konsolidierte Textfassung, kein amtliches Inkrafttretensdatum)</w:t>
      </w:r>
    </w:p>
    <w:p>
      <w:r>
        <w:t xml:space="preserve">(1) Die Bundesanstalt kann Änderungen an dem nach Artikel 23 Absatz 4 der Verordnung (EU) 2023/1114 eingereichten Plan von einem Emittenten vermögenswertreferenzierter Token verlangen, sofern dieser Plan nicht die Voraussetzung des Artikels 23 Absatz 1 der Verordnung (EU) 2023/1114 erfüllt, um einen zügigen Rückgang der Verwendung des betreffenden Kryptowertes als Tauschmittel sicherzustellen. Insbesondere kann die Bundesanstalt eine Mindeststückelung einführen oder den auszugebenden Betrag begrenzen.</w:t>
      </w:r>
    </w:p>
    <w:p>
      <w:r>
        <w:t xml:space="preserve">(2) Die Bundesanstalt begrenzt die Menge eines auszugebenden vermögenswertreferenzierten Tokens nach Absatz 1 oder schreibt eine Mindeststückelung vor, wenn die Europäische Zentralbank oder die Zentralbank nach Artikel 20 Absatz 4 der Verordnung (EU) 2023/1114 feststellt, dass die vorbezeichnete Token-Art eine Bedrohung für das reibungslose Funktionieren der Zahlungssysteme, die geldpolitische Transmission oder die Währungshoheit darstellt, und legt die anzuwendende Obergrenze oder Mindeststückelung fest.</w:t>
      </w:r>
    </w:p>
    <w:p>
      <w:r>
        <w:t xml:space="preserve">(3) Die Absätze 1 und 2 gelten entsprechend für signifikante E-Geld-Token und E-Geld-Token, die auf keine amtliche Währung eines Mitgliedstaates lauten.</w:t>
      </w:r>
    </w:p>
    <w:p>
      <w:r>
        <w:rPr>
          <w:color w:val="555555"/>
          <w:sz w:val="17"/>
        </w:rPr>
        <w:t xml:space="preserve">Zitiervorschlag: § 27 KMAG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