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KMAG — Ergänzende Bestimmungen zur Übernahme von Instituten</w:t>
      </w:r>
    </w:p>
    <w:p>
      <w:r>
        <w:rPr>
          <w:color w:val="555555"/>
          <w:sz w:val="18"/>
        </w:rPr>
        <w:t xml:space="preserve">Kryptomärkteaufsichtsgesetz</w:t>
      </w:r>
    </w:p>
    <w:p>
      <w:r>
        <w:rPr>
          <w:color w:val="555555"/>
          <w:sz w:val="18"/>
        </w:rPr>
        <w:t xml:space="preserve">Stand: 03.07.2026 (konsolidierte Textfassung, kein amtliches Inkrafttretensdatum)</w:t>
      </w:r>
    </w:p>
    <w:p>
      <w:r>
        <w:t xml:space="preserve">(1) Die Verpflichtung nach § 20 Absatz 1 gegenüber der Bundesanstalt und der Deutschen Bundesbank gilt auch für</w:t>
      </w:r>
    </w:p>
    <w:p>
      <w:pPr>
        <w:ind w:left="420"/>
      </w:pPr>
      <w:r>
        <w:t xml:space="preserve">1. Personen und Unternehmen, die eine Beteiligungsabsicht nach Artikel 41 oder Artikel 83 der Verordnung (EU) 2023/1114 anzeigen oder die im Rahmen eines Zulassungsverfahrens nach Artikel 16 Absatz 1 Unterabsatz 1 Buchstabe a oder Artikel 59 Absatz 1 Buchstabe a der Verordnung (EU) 2023/1114 als Inhaber qualifizierter Beteiligungen angegeben werden,</w:t>
      </w:r>
    </w:p>
    <w:p>
      <w:pPr>
        <w:ind w:left="420"/>
      </w:pPr>
      <w:r>
        <w:t xml:space="preserve">2. die Inhaber einer qualifizierten Beteiligung an einem Institut und den von ihnen kontrollierten Unternehmen,</w:t>
      </w:r>
    </w:p>
    <w:p>
      <w:pPr>
        <w:ind w:left="420"/>
      </w:pPr>
      <w:r>
        <w:t xml:space="preserve">3. Personen und Unternehmen, bei denen Tatsachen die Annahme rechtfertigen, dass es sich um Personen oder Unternehmen nach Nummer 2 handelt und</w:t>
      </w:r>
    </w:p>
    <w:p>
      <w:pPr>
        <w:ind w:left="420"/>
      </w:pPr>
      <w:r>
        <w:t xml:space="preserve">4. Personen und Unternehmen, die mit einer Person oder einem Unternehmen nach den Nummern 1 bis 3 nach § 15 des Aktiengesetzes verbunden sind.</w:t>
      </w:r>
    </w:p>
    <w:p>
      <w:r>
        <w:t xml:space="preserve">Die Auskunfts- und Vorlegungspflichten nach Satz 1 bestehen auch für die bei nach Satz 1 auskunfts- und vorlegungspflichtigen Personen oder Unternehmen, Beschäftigten sowie für die Mitglieder eines Organs, jeweils auch nach ihrem Ausscheiden aus dem Organ oder Unternehmen.Auf Verlangen der Bundesanstalt hat der Vorlagepflichtige die einzureichenden Unterlagen nach Artikel 41 oder Artikel 83 der Verordnung (EU) 2023/1114 in Verbindung mit den technischen Regulierungsstandards nach Artikel 42 Absatz 4 und Artikel 84 Absatz 4 der Verordnung (EU) 2023/1114 auf seine Kosten durch einen von der Bundesanstalt zu bestimmenden Wirtschaftsprüfer prüfen zu lassen. § 20 Absatz 5 gilt entsprechend.</w:t>
      </w:r>
    </w:p>
    <w:p>
      <w:r>
        <w:t xml:space="preserve">(2) Die Bundesanstalt und die Deutsche Bundesbank können Maßnahmen nach § 20 Absatz 2 gegenüber den in Absatz 1 genannten Personen und Unternehmen ergreifen, wenn Anhaltspunkte dafür vorliegen, dass sie aufgrund der Kriterien nach Artikel 42 Absatz 1 oder Artikel 84 Absatz 1 der Verordnung (EU) 2023/1114 nicht geeignet sind. § 20 Absatz 5 gilt entsprechend.</w:t>
      </w:r>
    </w:p>
    <w:p>
      <w:r>
        <w:t xml:space="preserve">(3) Die Bediensteten der Bundesanstalt und der Deutschen Bundesbank dürfen die Räume der nach Absatz 1 auskunfts- und vorlegungspflichtigen Personen, Unternehmen sowie von deren Organmitgliedern auch nach ihrem Ausscheiden durchsuchen. § 20 Absatz 3 gilt entsprechend. Die Betroffenen haben Maßnahmen nach Satz 1 zu dulden.</w:t>
      </w:r>
    </w:p>
    <w:p>
      <w:r>
        <w:t xml:space="preserve">(4) Die Bediensteten der Bundesanstalt und der Deutschen Bundesbank dürfen Gegenstände sicherstellen, die als Beweismittel für die Ermittlung des Sachverhalts von Bedeutung sein können. Werden die Gegenstände für das Verwaltungsverfahren nicht mehr benötigt, so werden diese an den letzten Gewahrsamsinhaber herausgegeben. Die Betroffenen haben Maßnahmen nach Satz 1 zu dulden.</w:t>
      </w:r>
    </w:p>
    <w:p>
      <w:r>
        <w:t xml:space="preserve">(5) Eine natürliche oder juristische Person oder eine Personengesellschaft gilt als unzuverlässig, wenn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ihre Gelder und wirtschaftlichen Ressourcen eingefroren sind oder ihr weder unmittelbar noch mittelbar Gelder oder wirtschaftliche Ressourcen zur Verfügung gestellt werden oder zugutekommen dürfen. Eine natürliche Person gilt in der Regel als unzuverlässig, wenn sie als Mitglied eines Leitungsorgans oder in vergleichbarer Position für eine Person oder Personengesellschaft nach Satz 1 tätig ist; dies gilt nicht für Arbeitnehmervertreter. Eine natürliche Person gilt in der Regel auch dann als unzuverlässig, wenn sie die Interessen einer Person oder Personengesellschaft nach Satz 1 als Mitglied eines Aufsichts- oder Verwaltungsrates oder eines vergleichbaren Kontrollgremiums in einem Institut wahrnimmt, das nicht unter Satz 1 fällt.</w:t>
      </w:r>
    </w:p>
    <w:p>
      <w:r>
        <w:t xml:space="preserve">(6) Die Bundesanstalt kann in den Fällen des Artikels 42 Absatz 2 oder des Artikels 84 Absatz 2 der Verordnung (EU) 2023/1114, statt den beabsichtigten Erwerb der qualifizierten Beteiligung oder ihre beabsichtigte Erhöhung zu untersagen, innerhalb des Beurteilungszeitraumes des Artikels 41 Absatz 4 und 5 der Verordnung (EU) 2023/1114 auch Anordnungen gegenüber dem interessierten Erwerber treffen, die geeignet und erforderlich sind, um das Eintreten der in Artikel 42 Absatz 1 der Verordnung (EU) 2023/1114 genannten Untersagungsgründe auszuschließen.</w:t>
      </w:r>
    </w:p>
    <w:p>
      <w:r>
        <w:t xml:space="preserve">(7) Die Bundesanstalt kann eine Frist setzen, innerhalb derer der interessierte Erwerber anzuzeigen hat, ob der beabsichtigte Erwerb oder die Erhöhung vollzogen worden ist.</w:t>
      </w:r>
    </w:p>
    <w:p>
      <w:r>
        <w:t xml:space="preserve">(8) Wer unabsichtlich eine qualifizierte Beteiligung an einem Institut erwirbt oder eine qualifizierte Beteiligung so erhöht, dass die Schwellen von 20 Prozent, 30 Prozent oder 50 Prozent der Stimmrechte oder des Kapitals erreicht oder überschritten werden, oder eine qualifizierte Beteiligung so erhöht, dass das Institut unter seine Kontrolle kommt, hat dies der Bundesanstalt und der Deutschen Bundesbank unverzüglich anzuzeigen, sobald er von dem Erwerb oder der Erhöhung Kenntnis erlangt hat. Dies gilt auch, wenn er beabsichtigt, die Beteiligung so zurückzuführen, dass sie erneut unter eine der Schwellen fällt, sofern die Beteiligung nicht unverzüglich nach Kenntnis von dem Erwerb oder der Erhöhung zurückgeführt wird.</w:t>
      </w:r>
    </w:p>
    <w:p>
      <w:r>
        <w:t xml:space="preserve">(9) Die Bundesanstalt kann dem Inhaber einer qualifizierten Beteiligung sowie den seine qualifizierte Beteiligung begründenden Unternehmen die Ausübung der Stimmrechte untersagen und anordnen, dass über die Anteile nur mit ihrer Zustimmung verfügt werden darf, wenn</w:t>
      </w:r>
    </w:p>
    <w:p>
      <w:pPr>
        <w:ind w:left="420"/>
      </w:pPr>
      <w:r>
        <w:t xml:space="preserve">1. die Voraussetzungen eines Einspruches nach Artikel 42 Absatz 2 oder Artikel 84 Absatz 2 der Verordnung (EU) 2023/1114 vorliegen,</w:t>
      </w:r>
    </w:p>
    <w:p>
      <w:pPr>
        <w:ind w:left="420"/>
      </w:pPr>
      <w:r>
        <w:t xml:space="preserve">2. der Inhaber der qualifizierten Beteiligung seiner Pflicht nach Artikel 41 Absatz 1 oder Artikel 83 Absatz 1 der Verordnung (EU) 2023/1114 zur vorherigen Mitteilung nicht nachgekommen ist,</w:t>
      </w:r>
    </w:p>
    <w:p>
      <w:pPr>
        <w:ind w:left="420"/>
      </w:pPr>
      <w:r>
        <w:t xml:space="preserve">3. die Beteiligung trotz eines Einspruches nach Artikel 42 Absatz 2 oder Artikel 84 Absatz 2 der Verordnung (EU) 2023/1114 erworben oder erhöht worden ist,</w:t>
      </w:r>
    </w:p>
    <w:p>
      <w:pPr>
        <w:ind w:left="420"/>
      </w:pPr>
      <w:r>
        <w:t xml:space="preserve">4. der Inhaber der qualifizierten Beteiligung den Erwerb oder die Erhöhung der Beteiligung innerhalb des Beurteilungszeitraumes nach Artikel 41 Absatz 4 und 5 oder Artikel 83 Absatz 4 der Verordnung (EU) 2023/1114 vollzogen hat oder</w:t>
      </w:r>
    </w:p>
    <w:p>
      <w:pPr>
        <w:ind w:left="420"/>
      </w:pPr>
      <w:r>
        <w:t xml:space="preserve">5. der Inhaber der qualifizierten Beteiligung eine vollziehbare Anordnung nach Absatz 2 bis 4 nicht erfüllt.</w:t>
      </w:r>
    </w:p>
    <w:p>
      <w:r>
        <w:t xml:space="preserve">Im Falle einer Untersagung nach Satz 1 bestellt das Gericht am Sitz des Instituts auf Antrag der Bundesanstalt, des Instituts oder eines an ihm Beteiligten einen Treuhänder, auf den es die Ausübung der Stimmrechte überträgt. Der Treuhänder hat bei der Ausübung der Stimmrechte den Interessen einer soliden und umsichtigen Führung des Instituts Rechnung zu tragen. Über die Maßnahmen nach Satz 1 hinaus kann die Bundesanstalt den Treuhänder mit der Veräußerung der Anteile, soweit sie eine qualifizierte Beteiligung begründen, beauftragen, wenn der Inhaber der qualifizierten Beteiligung ihr nicht innerhalb einer von ihr bestimmten angemessenen Frist einen zuverlässigen Erwerber nachweist; die Inhaber der Anteile haben bei der Veräußerung in dem erforderlichen Umfang mitzuwirken. Sind die Voraussetzungen des Satzes 1 entfallen, hat die Bundesanstalt den Widerruf der Bestellung des Treuhänders zu beantragen. Der Treuhänder hat Anspruch auf Ersatz angemessener Auslagen und auf Vergütung für seine Tätigkeit. Das Gericht setzt auf Antrag des Treuhänders die Auslagen und die Vergütung fest; die Rechtsbeschwerde gegen die Vergütungsfestsetzung ist ausgeschlossen. Für die Kosten, die durch die Bestellung des Treuhänders entstehen, die diesem zu gewährenden Auslagen sowie die Vergütung haften das Institut und der betroffene Inhaber der qualifizierten Beteiligung als Gesamtschuldner. Die Bundesanstalt schießt die Auslagen und die Vergütung vor. Bei fahrlässigem Handeln beschränkt sich die Ersatzpflicht des Treuhänders auf 1 Million Euro. Handelt es sich um eine Aktiengesellschaft, deren Aktien zum Handel im regulierten Markt zugelassen sind, beschränkt sich die Ersatzpflicht auf 50 Millionen Euro.</w:t>
      </w:r>
    </w:p>
    <w:p>
      <w:r>
        <w:t xml:space="preserve">(10) Die Bundesanstalt kann in den Fällen des Absatzes 9 auch gegenüber einem die qualifizierte Beteiligung begründenden Unternehmen anordnen, Weisungen des Inhabers einer qualifizierten Beteiligung, der an dem begründenden Unternehmen beteiligt ist, nicht zu befolgen.</w:t>
      </w:r>
    </w:p>
    <w:p>
      <w:r>
        <w:rPr>
          <w:color w:val="555555"/>
          <w:sz w:val="17"/>
        </w:rPr>
        <w:t xml:space="preserve">Zitiervorschlag: § 25 KMAG</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