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KMAG — Maßnahmen hinsichtlich Organversammlungen von Instituten</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zu den Hauptversammlungen, Generalversammlungen oder Gesellschafterversammlungen sowie zu den Sitzungen des Leitungsorgans bei Instituten Vertreter entsenden. Diese können in der Versammlung oder Sitzung das Wort ergreifen. Im Falle der virtuellen Hauptversammlung nach § 118a des Aktiengesetzes sind die Vertreter im Wege der Videokommunikation zu der Versammlung zuzuschalten. Diese können über die Videokommunikation das Wort ergreifen. Nach § 130a Absatz 1 und 2 des Aktiengesetzes eingereichte Stellungnahmen, nach § 131 Absatz 1a und 1b des Aktiengesetzes eingereichte Fragen sowie die zu diesen Fragen vor der Versammlung gegebenen Antworten sind den Vertretern zugänglich zu machen. Die Vertreter dürfen anstelle der Zuschaltung im Wege der Videokommunikation am Ort der Hauptversammlung teilnehmen, sofern sie dies für erforderlich halten. Die Betroffenen haben Maßnahmen nach den Sätzen 1 bis 5 zu dulden.</w:t>
      </w:r>
    </w:p>
    <w:p>
      <w:r>
        <w:t xml:space="preserve">(2) Institute haben auf Verlangen der Bundesanstalt die Einberufung der in Absatz 1 Satz 1 bezeichneten Versammlungen, die Anberaumung von Sitzungen des Leitungsorgans in Aufsichtsfunktion sowie die Ankündigung von Gegenständen zur Beschlussfassung vorzunehmen. Die Bundesanstalt kann zu einer nach Satz 1 anberaumten Sitzung Vertreter entsenden. Diese können in der Sitzung das Wort ergreifen. Absatz 1 Satz 3 bis 5 gilt entsprechend. Die Betroffenen haben Maßnahmen nach den Sätzen 2 bis 4 zu dulden. Absatz 1 bleibt unberührt.</w:t>
      </w:r>
    </w:p>
    <w:p>
      <w:r>
        <w:t xml:space="preserve">(3) Die Absätze 1 und 2 gelten nicht für CRR-Kreditinstitute, E-Geld-Institute und Anbieter von Kryptowerte-Dienstleistungen nach Artikel 59 Absatz 1 Buchstabe b der Verordnung (EU) 2023/1114.</w:t>
      </w:r>
    </w:p>
    <w:p>
      <w:r>
        <w:rPr>
          <w:color w:val="555555"/>
          <w:sz w:val="17"/>
        </w:rPr>
        <w:t xml:space="preserve">Zitiervorschlag: § 22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