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KMAG — Begriffsbestimmungen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(1) Kryptowerte sind solche im Sinne des Artikels 3 Absatz 1 Nummer 5 der Verordnung (EU) 2023/1114.</w:t>
      </w:r>
    </w:p>
    <w:p>
      <w:r>
        <w:t xml:space="preserve">(2) Vermögenswertreferenzierte Token sind solche im Sinne des Artikels 3 Absatz 1 Nummer 6 der Verordnung (EU) 2023/1114.</w:t>
      </w:r>
    </w:p>
    <w:p>
      <w:r>
        <w:t xml:space="preserve">(3) E-Geld-Token sind solche im Sinne des Artikels 3 Absatz 1 Nummer 7 der Verordnung (EU) 2023/1114.</w:t>
      </w:r>
    </w:p>
    <w:p>
      <w:r>
        <w:t xml:space="preserve">(4) Institute im Sinne dieses Gesetzes sind Unternehmen, die</w:t>
      </w:r>
    </w:p>
    <w:p>
      <w:pPr>
        <w:ind w:left="420"/>
      </w:pPr>
      <w:r>
        <w:t xml:space="preserve">1. nach Artikel 16 oder Artikel 17 der Verordnung (EU) 2023/1114 vermögenswertreferenzierte Token öffentlich anbieten oder deren Zulassung zum Handel beantragen,</w:t>
      </w:r>
    </w:p>
    <w:p>
      <w:pPr>
        <w:ind w:left="420"/>
      </w:pPr>
      <w:r>
        <w:t xml:space="preserve">2. nach Artikel 48 der Verordnung (EU) 2023/1114 E-Geld-Token öffentlich anbieten oder deren Zulassung zum Handel beantragen sowie</w:t>
      </w:r>
    </w:p>
    <w:p>
      <w:pPr>
        <w:ind w:left="420"/>
      </w:pPr>
      <w:r>
        <w:t xml:space="preserve">3. nach Artikel 59 oder Artikel 60 der Verordnung (EU) 2023/1114 Kryptowerte-Dienstleistungen erbringen.</w:t>
      </w:r>
    </w:p>
    <w:p>
      <w:r>
        <w:t xml:space="preserve">(5) Bundesanstalt ist die Bundesanstalt für Finanzdienstleistungsaufsicht.</w:t>
      </w:r>
    </w:p>
    <w:p>
      <w:r>
        <w:t xml:space="preserve">(6) CRR-Kreditinstitute sind Kreditinstitute im Sinne des Artikels 3 Absatz 1 Nummer 28 der Verordnung (EU) 2023/1114.</w:t>
      </w:r>
    </w:p>
    <w:p>
      <w:r>
        <w:t xml:space="preserve">(7) E-Geld-Institute sind solche im Sinne des Artikels 3 Absatz 1 Nummer 43 der Verordnung (EU) 2023/1114.</w:t>
      </w:r>
    </w:p>
    <w:p>
      <w:r>
        <w:t xml:space="preserve">(8) Ein öffentliches Angebot ist eine Mitteilung im Sinne des Artikels 3 Absatz 1 Nummer 12 der Verordnung (EU) 2023/1114.</w:t>
      </w:r>
    </w:p>
    <w:p>
      <w:r>
        <w:t xml:space="preserve">(9) Antragsteller ist eine juristische Person oder ein anderes Unternehmen, die oder das einen Antrag auf Zulassung eines Kryptowertes auf einer Handelsplattform für Kryptowerte stellt.</w:t>
      </w:r>
    </w:p>
    <w:p>
      <w:r>
        <w:t xml:space="preserve">(10) Anbieter von Kryptowerte-Dienstleistungen sind juristische Personen oder andere Unternehmen im Sinne des Artikels 3 Absatz 1 Nummer 15 der Verordnung (EU) 2023/1114.</w:t>
      </w:r>
    </w:p>
    <w:p>
      <w:r>
        <w:t xml:space="preserve">(11) Kryptoverwahrung ist die Kryptowerte-Dienstleistung der Verwahrung und Verwaltung von Kryptowerten für Kunden im Sinne des Artikels 3 Absatz 1 Nummer 16 Buchstabe a der Verordnung (EU) 2023/1114.</w:t>
      </w:r>
    </w:p>
    <w:p>
      <w:r>
        <w:t xml:space="preserve">(12) Kryptoverwahrer sind Anbieter von Kryptoverwahrung.</w:t>
      </w:r>
    </w:p>
    <w:p>
      <w:r>
        <w:t xml:space="preserve">(13) Leitungsorgan ist ein solches im Sinne des Artikels 3 Absatz 1 Nummer 27 der Verordnung (EU) 2023/1114.</w:t>
      </w:r>
    </w:p>
    <w:p>
      <w:r>
        <w:t xml:space="preserve">(14) Zuverlässigkeit ist der Leumund im Sinne der Verordnung (EU) 2023/1114.</w:t>
      </w:r>
    </w:p>
    <w:p>
      <w:r>
        <w:t xml:space="preserve">(15) Im Übrigen gelten für die Zwecke dieses Gesetzes die Begriffsbestimmungen des Artikels 3 Absatz 1 der Verordnung (EU) 2023/1114.</w:t>
      </w:r>
    </w:p>
    <w:p>
      <w:r>
        <w:rPr>
          <w:color w:val="555555"/>
          <w:sz w:val="17"/>
        </w:rPr>
        <w:t xml:space="preserve">Zitiervorschlag: § 2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