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KMAG — Befugnisse hinsichtlich Marketingmitteilungen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09.01.2025 (konsolidierte Textfassung, kein amtliches Inkrafttretensdatum)</w:t>
      </w:r>
    </w:p>
    <w:p>
      <w:r>
        <w:t xml:space="preserve">(1) Entspricht eine Marketingmitteilung nicht den Vorgaben des Artikels 7, des Artikels 29 oder des Artikels 53 der Verordnung (EU) 2023/1114, kann die Bundesanstalt eine Änderung der Marketingmitteilung verlangen.</w:t>
      </w:r>
    </w:p>
    <w:p>
      <w:r>
        <w:t xml:space="preserve">(2) Die Bundesanstalt kann anordnen, Marketingmitteilungen für maximal 30 Tage auszusetzen, oder Marketingmitteilungen untersagen, wenn ein hinreichend begründeter Verdacht besteht, dass in diesem Zusammenhang ein Verstoß gegen die Verordnung (EU) 2023/1114 oder dieses Gesetz vorliegt.</w:t>
      </w:r>
    </w:p>
    <w:p>
      <w:r>
        <w:t xml:space="preserve">(3) Die Bundesanstalt kann die Übermittlung von Marketingmitteilungen auch ohne den konkreten Verdacht eines Verstoßes gegen die Verordnung (EU) 2023/1114 verlangen.</w:t>
      </w:r>
    </w:p>
    <w:p>
      <w:r>
        <w:rPr>
          <w:color w:val="555555"/>
          <w:sz w:val="17"/>
        </w:rPr>
        <w:t xml:space="preserve">Zitiervorschlag: § 17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