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KMAG — Befugnisse hinsichtlich Kryptowerte-Whitepapers und modifizierter Kryptowerte-Whitepapers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09.01.2025 (konsolidierte Textfassung, kein amtliches Inkrafttretensdatum)</w:t>
      </w:r>
    </w:p>
    <w:p>
      <w:r>
        <w:t xml:space="preserve">(1) Die Bundesanstalt kann von Anbietern und von Antragstellern verlangen, ihr Kryptowerte-Whitepaper oder ihr modifiziertes Kryptowerte-Whitepaper zu ändern, soweit dieses nicht die in Artikel 6, Artikel 19 oder Artikel 51 der Verordnung (EU) 2023/1114 vorgeschriebenen Informationen enthält oder nicht der vorgeschriebenen Form entspricht.</w:t>
      </w:r>
    </w:p>
    <w:p>
      <w:r>
        <w:t xml:space="preserve">(2) Die Bundesanstalt kann von Anbietern und Antragstellern die Aufnahme zusätzlicher Informationen in ihr Kryptowerte-Whitepaper verlangen, wenn dies aus Gründen der Finanzmarktstabilität oder zum Schutz des Publikums geboten erscheint.</w:t>
      </w:r>
    </w:p>
    <w:p>
      <w:r>
        <w:t xml:space="preserve">(3) In den Fällen des Artikels 5 Absatz 3 und des Artikels 143 Absatz 2 der Verordnung (EU) 2023/1114 kann die Bundesanstalt Maßnahmen nach den Absätzen 1 und 2 auch gegenüber dem Betreiber der Handelsplattform für Kryptowerte erlassen.</w:t>
      </w:r>
    </w:p>
    <w:p>
      <w:r>
        <w:rPr>
          <w:color w:val="555555"/>
          <w:sz w:val="17"/>
        </w:rPr>
        <w:t xml:space="preserve">Zitiervorschlag: § 16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