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KMAG — Ziel und Geltungsbereich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(1) Dieses Gesetz dient der Durchführung der Verordnung (EU) 2023/1114 des Europäischen Parlaments und des Rates vom 31. Mai 2023 über Märkte für Kryptowerte und zur Änderung der Verordnungen (EU) Nr. 1093/2010 und (EU) Nr. 1095/2010 sowie der Richtlinien 2013/36/EU und (EU) 2019/1937 (ABl. L 150 vom 9.6.2023, S. 40).</w:t>
      </w:r>
    </w:p>
    <w:p>
      <w:r>
        <w:t xml:space="preserve">(2) Dieses Gesetz gilt für Kryptowerte nach Artikel 3 Absatz 1 Nummer 5 der Verordnung (EU) 2023/1114. Es gilt nicht für Kryptowerte im Sinne des Artikels 2 Absatz 3 und 4 der Verordnung (EU) 2023/1114.</w:t>
      </w:r>
    </w:p>
    <w:p>
      <w:r>
        <w:t xml:space="preserve">(3) Die Befugnisse nach diesem Gesetz lassen die Befugnisse der Bundesanstalt nach anderen Rechtsvorschriften unberührt.</w:t>
      </w:r>
    </w:p>
    <w:p>
      <w:r>
        <w:rPr>
          <w:color w:val="555555"/>
          <w:sz w:val="17"/>
        </w:rPr>
        <w:t xml:space="preserve">Zitiervorschlag: § 1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