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KLSchV (Brandenburg) — Bestellung</w:t>
      </w:r>
    </w:p>
    <w:p>
      <w:r>
        <w:rPr>
          <w:color w:val="555555"/>
          <w:sz w:val="18"/>
        </w:rPr>
        <w:t xml:space="preserve">Krankenhaus-Landesschiedsstellenverordnung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der Landesschiedsstelle und der erweiterten Schiedsstelle werden durch schriftliche oder durch elektronischen Schriftformersatz erfolgende Benennung gegenüber der Geschäftsstelle bestellt. Die erneute Bestellung nach Ablauf der Amtsperiode ist zulässig.</w:t>
      </w:r>
    </w:p>
    <w:p>
      <w:r>
        <w:t xml:space="preserve">(2) Die oder der Vorsitzende und die weiteren unparteiischen Mitglieder der Landesschiedsstelle sowie deren Stellvertreterinnen oder Stellvertreter werden von den beteiligten Organisationen gemäß § 114 Abs. 2 Satz 3 des Fünften Buches Sozialgesetzbuch gemeinsam bestellt; sie gelten als bestellt, sobald sie sich den beteiligten Organisationen gegenüber zur Amtsübernahme bereit erklärt haben.</w:t>
      </w:r>
    </w:p>
    <w:p>
      <w:r>
        <w:t xml:space="preserve">(3) Kommt eine Einigung nicht zustande, werden die Mitglieder nach Absatz 2 in entsprechender Anwendung des Verfahrens nach § 89 Abs. 3 Satz 4 und 5 des Fünften Buches Sozialgesetzbuch durch Los bestellt (§ 114 Abs. 2 Satz 4 des Fünften Buches Sozialgesetzbuch). Soweit beteiligte Organisationen keine Vertreterinnen oder Vertreter bestellen oder im Verfahren nach Absatz 2 keine Kandidatinnen oder Kandidaten für das Amt der oder des Vorsitzenden oder der weiteren unparteiischen Mitglieder benennen, bestellt die nach § 18 zuständige Behörde auf Antrag einer der beteiligten Organisationen die Vertreterinnen oder Vertreter und benennt die Kandidatinnen und Kandidaten; die Amtsdauer der Mitglieder der Schiedsstelle beträgt in diesem Falle ein Jahr (§ 114 Abs. 2 Satz 5 des Fünften Buches Sozialgesetzbuch).</w:t>
      </w:r>
    </w:p>
    <w:p>
      <w:r>
        <w:rPr>
          <w:color w:val="555555"/>
          <w:sz w:val="17"/>
        </w:rPr>
        <w:t xml:space="preserve">Zitiervorschlag: § 3 KLSchV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https://recht.nulegal.eu/gesetze/KLSchV/3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