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KLSchV (Brandenburg) — Geschäftsordnung</w:t>
      </w:r>
    </w:p>
    <w:p>
      <w:r>
        <w:rPr>
          <w:color w:val="555555"/>
          <w:sz w:val="18"/>
        </w:rPr>
        <w:t xml:space="preserve">Krankenhaus-Landesschiedsstellenverordnung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Landesschiedsstelle und die erweiterte Schiedsstelle geben sich eine gemeinsame Geschäftsordnung. Für die Beschlussfassung über die Geschäftsordnung gilt § 12 entsprechend. Kommt keine Geschäftsordnung zustande, kann sie auf Antrag einer der Vertragsparteien durch die zuständige Behörde nach § 18 erlassen werden.</w:t>
      </w:r>
    </w:p>
    <w:p>
      <w:r>
        <w:rPr>
          <w:color w:val="555555"/>
          <w:sz w:val="17"/>
        </w:rPr>
        <w:t xml:space="preserve">Zitiervorschlag: § 17 KLSchV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https://recht.nulegal.eu/gesetze/KLSchV/17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