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KLSchV (Brandenburg) — Entscheidungen der Landesschiedsstelle</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Entscheidung der Landesschiedsstelle und der erweiterten Schiedsstelle ist schriftlich oder durch elektronischen Schriftformersatz zu erlassen, zu begründen, von der oder dem Vorsitzenden zu unterschreiben und mit Rechtsbehelfsbelehrung den Vertragsparteien zuzustellen.</w:t>
      </w:r>
    </w:p>
    <w:p>
      <w:r>
        <w:t xml:space="preserve">(2) Die Festsetzung hat die Rechtswirkung einer vertraglichen Vereinbarung im Sinne des § 112 oder des § 115 des Fünften Buches Sozialgesetzbuch.</w:t>
      </w:r>
    </w:p>
    <w:p>
      <w:r>
        <w:rPr>
          <w:color w:val="555555"/>
          <w:sz w:val="17"/>
        </w:rPr>
        <w:t xml:space="preserve">Zitiervorschlag: § 13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