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KLSchV (Brandenburg) — Errichtung der Landesschiedsstelle</w:t>
      </w:r>
    </w:p>
    <w:p>
      <w:r>
        <w:rPr>
          <w:color w:val="555555"/>
          <w:sz w:val="18"/>
        </w:rPr>
        <w:t xml:space="preserve">Krankenhaus-Landesschiedsstellenverordnung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Landesverbände der Krankenkassen und die Verbände der Ersatzkassen gemeinsam und die Landeskrankenhausgesellschaft Brandenburg e. V. bilden im Land Brandenburg gemäß § 114 Abs. 1 Satz 1 des Fünften Buches Sozialgesetzbuch eine Landesschiedsstelle. Sie nimmt auch die Aufgabe der erweiterten Schiedsstelle nach § 115 Abs. 3 des Fünften Buches Sozialgesetzbuch wahr.</w:t>
      </w:r>
    </w:p>
    <w:p>
      <w:r>
        <w:t xml:space="preserve">(2) Die Geschäftsführung der Landesschiedsstelle wird in turnusmäßigem Wechsel bei der Landeskrankenhausgesellschaft Brandenburg e.V. und den Verbänden der Krankenkassen im Land Brandenburg eingerichtet (Geschäftsstelle).</w:t>
      </w:r>
    </w:p>
    <w:p>
      <w:r>
        <w:rPr>
          <w:color w:val="555555"/>
          <w:sz w:val="17"/>
        </w:rPr>
        <w:t xml:space="preserve">Zitiervorschlag: § 1 KLSchV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https://recht.nulegal.eu/gesetze/KLSchV/1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