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KLIN_EPID_KREBSREGISTER (Brandenburg)</w:t>
      </w:r>
    </w:p>
    <w:p>
      <w:r>
        <w:rPr>
          <w:color w:val="555555"/>
          <w:sz w:val="18"/>
        </w:rPr>
        <w:t xml:space="preserve">Gesetz zu dem Staatsvertrag zwischen dem Land Brandenburg und dem Land Berlin über die Führung eines Klinisch-epidemiologischen Krebsregisters nach § 65c des Fünften Buches Sozialgesetzbuch und § 1 des Bundeskrebsregisterdatengesetzes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Artikel 9 Absatz 1 und die Artikel 11 bis 15 des Staatsvertrages wird das Grundrecht auf Datenschutz (Artikel 11 Absatz 1 der Verfassung des Landes Brandenburg), durch Artikel 9 Absatz 1 des Staatsvertrages zudem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2 KLIN_EPID_KREBSREGISTER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https://recht.nulegal.eu/gesetze/KLIN_EPID_KREBSREGISTER/2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