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KKVerbdG</w:t>
      </w:r>
    </w:p>
    <w:p>
      <w:r>
        <w:rPr>
          <w:color w:val="555555"/>
          <w:sz w:val="18"/>
        </w:rPr>
        <w:t xml:space="preserve">Gesetz über die Verbände der gesetzlichen Krankenkassen und der Ersatzkassen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Reichsverband der Ortskrankenkassen, Körperschaft des öffentlichen Rechts, wird mit Inkrafttreten dieses Gesetzes aufgelöst. Mit dem gleichen Zeitpunkt erlischt die Treuhandschaft über diejenigen Vermögensrechte, die nach §§ 4 und 5 auf die Landesverbände und den Bundesverband der Ortskrankenkassen übergehen.</w:t>
      </w:r>
    </w:p>
    <w:p>
      <w:r>
        <w:rPr>
          <w:color w:val="555555"/>
          <w:sz w:val="17"/>
        </w:rPr>
        <w:t xml:space="preserve">Zitiervorschlag: § 6 KKVerbdG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https://recht.nulegal.eu/gesetze/KKVerbdG/6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