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KKInsoV — Inkrafttreten</w:t>
      </w:r>
    </w:p>
    <w:p>
      <w:r>
        <w:rPr>
          <w:color w:val="555555"/>
          <w:sz w:val="18"/>
        </w:rPr>
        <w:t xml:space="preserve">Verordnung zur Aufteilung und Geltendmachung der Haftungsbeträge durch den Spitzenverband Bund der Krankenkassen bei Insolvenz oder Schließung einer Krankenkasse</w:t>
      </w:r>
    </w:p>
    <w:p>
      <w:r>
        <w:rPr>
          <w:color w:val="555555"/>
          <w:sz w:val="18"/>
        </w:rPr>
        <w:t xml:space="preserve">Historische Fassung: Stand 10.06.2019 bis 05.04.2020. Dies ist nicht die aktuelle Fassung.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6 KKInsoV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https://recht.nulegal.eu/gesetze/KKInsoV/6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