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KKInsoV — Verfahrensregelungen</w:t>
      </w:r>
    </w:p>
    <w:p>
      <w:r>
        <w:rPr>
          <w:color w:val="555555"/>
          <w:sz w:val="18"/>
        </w:rPr>
        <w:t xml:space="preserve">Verordnung zur Aufteilung und Geltendmachung der Haftungsbeträge durch den Spitzenverband Bund der Krankenkassen bei Insolvenz oder Schließung einer Krankenkasse</w:t>
      </w:r>
    </w:p>
    <w:p>
      <w:r>
        <w:rPr>
          <w:color w:val="555555"/>
          <w:sz w:val="18"/>
        </w:rPr>
        <w:t xml:space="preserve">Historische Fassung: Stand 10.06.2019 bis 05.04.2020. Dies ist nicht die aktuelle Fassung.</w:t>
      </w:r>
    </w:p>
    <w:p>
      <w:r>
        <w:t xml:space="preserve">(1) Der Spitzenverband Bund der Krankenkassen macht die auf die einzelnen Krankenkassen entfallenden Beträge durch Bescheid geltend. Er kann Beträge zu unterschiedlichen Zeitpunkten fällig stellen und Teilbeträge verlangen.</w:t>
      </w:r>
    </w:p>
    <w:p>
      <w:r>
        <w:t xml:space="preserve">(2) Die Krankenkasse hat die geltend gemachten Beträge innerhalb von zwei Monaten an den Spitzenverband Bund der Krankenkassen zu überweisen. Der Spitzenverband Bund der Krankenkassen kann eine kürzere Frist festlegen, wenn er hierauf zur Erfüllung seiner Zahlungsverpflichtungen angewiesen ist. Die Zahlung gilt mit der belastenden Wertstellung und Ausführung vor Bankannahmeschluss am jeweiligen Fälligkeitstag als erfüllt. Nach Überschreiten der Frist nach Satz 1 tritt ohne Mahnung Verzug ein. Im Fall des Verzugs sind Verzugszinsen in Höhe von acht Prozentpunkten über dem Basiszinssatz zu zahlen.</w:t>
      </w:r>
    </w:p>
    <w:p>
      <w:r>
        <w:rPr>
          <w:color w:val="555555"/>
          <w:sz w:val="17"/>
        </w:rPr>
        <w:t xml:space="preserve">Zitiervorschlag: § 5 KKInsoV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https://recht.nulegal.eu/gesetze/KKInsoV/5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