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KKInsoV — Aufteilung im Insolvenzfall</w:t>
      </w:r>
    </w:p>
    <w:p>
      <w:r>
        <w:rPr>
          <w:color w:val="555555"/>
          <w:sz w:val="18"/>
        </w:rPr>
        <w:t xml:space="preserve">Verordnung zur Aufteilung und Geltendmachung der Haftungsbeträge durch den Spitzenverband Bund der Krankenkassen bei Insolvenz oder Schließung einer Krankenkasse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(1) Für die Aufteilung der Verpflichtungen nach § 1 Absatz 3 durch den Spitzenverband Bund der Krankenkassen gilt § 2 entsprechend.</w:t>
      </w:r>
    </w:p>
    <w:p>
      <w:r>
        <w:t xml:space="preserve">(2) Übersteigen die auf die Krankenkassen der Kassenart aufzuteilenden Verpflichtungen nach § 171d Absatz 5 Satz 1 des Fünften Buches Sozialgesetzbuch 1 Prozent des Gesamtbetrags der jährlichen Zuweisungen, die die Krankenkassen der betroffenen Kassenart (§ 2 Absatz 1) aus dem Gesundheitsfonds erhalten, wird der übersteigende Betrag auf die Krankenkassen der anderen Kassenarten aufgeteilt. Im Übrigen gilt § 3 Absatz 1 Satz 2, Absatz 2 und 3 entsprechend.</w:t>
      </w:r>
    </w:p>
    <w:p>
      <w:r>
        <w:t xml:space="preserve">(3) Für die Verpflichtungen nach § 171d Absatz 1 Satz 1 des Fünften Buches Sozialgesetzbuch, die nicht vom Träger der Insolvenzsicherung nach dem Betriebsrentengesetz zu erfüllen sind, gilt Absatz 2 entsprechend, wenn diese 1,5 Prozent des Gesamtbetrags der jährlichen Zuweisungen übersteigen, die die Krankenkassen der betroffenen Kassenart (§ 2 Absatz 1) aus dem Gesundheitsfonds erhalten.</w:t>
      </w:r>
    </w:p>
    <w:p>
      <w:r>
        <w:rPr>
          <w:color w:val="555555"/>
          <w:sz w:val="17"/>
        </w:rPr>
        <w:t xml:space="preserve">Zitiervorschlag: § 4 KKInsoV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https://recht.nulegal.eu/gesetze/KKInsoV/4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