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KKInsoV — Aufteilung auf die Krankenkassen der übrigen Kassenarten bei Schließung einer Krankenkasse</w:t>
      </w:r>
    </w:p>
    <w:p>
      <w:r>
        <w:rPr>
          <w:color w:val="555555"/>
          <w:sz w:val="18"/>
        </w:rPr>
        <w:t xml:space="preserve">Verordnung zur Aufteilung und Geltendmachung der Haftungsbeträge durch den Spitzenverband Bund der Krankenkassen bei Insolvenz oder Schließung einer Krankenkasse</w:t>
      </w:r>
    </w:p>
    <w:p>
      <w:r>
        <w:rPr>
          <w:color w:val="555555"/>
          <w:sz w:val="18"/>
        </w:rPr>
        <w:t xml:space="preserve">Historische Fassung: Stand 18.01.2020 bis 05.04.2020. Dies ist nicht die aktuelle Fassung.</w:t>
      </w:r>
    </w:p>
    <w:p>
      <w:r>
        <w:t xml:space="preserve">(1) Übersteigt der auf die Krankenkassen der betroffenen Kassenart (§ 2 Absatz 1) aufzuteilende Betrag 2,5 Prozent des Gesamtbetrags der jährlichen Zuweisungen, den diese Krankenkassen aus dem Gesundheitsfonds erhalten, wird der übersteigende Betrag auf die Krankenkassen der anderen Kassenarten aufgeteilt. Bei den Krankenkassen nach § 2 Absatz 1 Satz 3 ist der Zuweisungsbetrag in dem Verhältnis nach § 2 Absatz 2 Satz 2 zu verringern.</w:t>
      </w:r>
    </w:p>
    <w:p>
      <w:r>
        <w:t xml:space="preserve">(2) Der Ermittlung des Gesamtbetrags der Zuweisungen nach Absatz 1 Satz 1 ist die den Krankenkassen vom Bundesamt für Soziale Sicherung zuletzt mitgeteilte vorläufige Höhe der Zuweisungen nach § 39 Absatz 2 und 3 der Risikostruktur-Ausgleichsverordnung zu Grunde zu legen. Der Spitzenverband Bund der Krankenkassen teilt den übersteigenden Betrag nach Absatz 1 Satz 1 auf die Krankenkassen der anderen Kassenarten vorläufig auf. Die auf Grund der Ermittlungen nach Satz 1 geleisteten Zahlungen der Krankenkassen gelten als Abschlagszahlungen. Nach Durchführung des Jahresausgleichs für das jeweilige Kalenderjahr legt der Spitzenverband Bund der Krankenkassen die vom Bundesamt für Soziale Sicherung nach § 41 Absatz 3 der Risikostruktur-Ausgleichsverordnung ermittelte Höhe der Zuweisungen zu Grunde und teilt den übersteigenden Betrag nach Absatz 1 Satz 1 auf die Krankenkassen der anderen Kassenarten endgültig auf.</w:t>
      </w:r>
    </w:p>
    <w:p>
      <w:r>
        <w:t xml:space="preserve">(3) Für die Aufteilung des übersteigenden Betrags auf die einzelnen Krankenkassen gilt § 2 entsprechend. Bei den in § 2 Absatz 1 Satz 3 genannten Krankenkassen ist dabei der Mitgliederanteil zu Grunde zu legen, der bei der Anwendung des § 2 Absatz 2 Satz 2 nicht berücksichtigt worden ist.</w:t>
      </w:r>
    </w:p>
    <w:p>
      <w:r>
        <w:rPr>
          <w:color w:val="555555"/>
          <w:sz w:val="17"/>
        </w:rPr>
        <w:t xml:space="preserve">Zitiervorschlag: § 3 KKInsoV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https://recht.nulegal.eu/gesetze/KKInsoV/3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