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KKInsoV — Sachlicher Anwendungsbereich</w:t>
      </w:r>
    </w:p>
    <w:p>
      <w:r>
        <w:rPr>
          <w:color w:val="555555"/>
          <w:sz w:val="18"/>
        </w:rPr>
        <w:t xml:space="preserve">Verordnung zur Aufteilung und Geltendmachung der Haftungsbeträge durch den Spitzenverband Bund der Krankenkassen bei Insolvenz oder Schließung einer Krankenkasse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(1) Diese Verordnung findet Anwendung, wenn</w:t>
      </w:r>
    </w:p>
    <w:p>
      <w:pPr>
        <w:ind w:left="420"/>
      </w:pPr>
      <w:r>
        <w:t xml:space="preserve">1. eine Krankenkasse von der Aufsichtsbehörde geschlossen wird, weil ihre Leistungsfähigkeit nicht mehr auf Dauer gesichert ist (Schließungsfall), oder</w:t>
      </w:r>
    </w:p>
    <w:p>
      <w:pPr>
        <w:ind w:left="420"/>
      </w:pPr>
      <w:r>
        <w:t xml:space="preserve">2. über das Vermögen einer Krankenkasse das Insolvenzverfahren eröffnet wird oder die Eröffnung mangels Masse rechtskräftig abgewiesen wird (Insolvenzfall).</w:t>
      </w:r>
    </w:p>
    <w:p>
      <w:r>
        <w:t xml:space="preserve">(2) Im Schließungsfall gilt die Verordnung für die Verpflichtungen, die nicht aus dem Vermögen der Krankenkasse erfüllt werden können, und die vom Spitzenverband Bund der Krankenkassen nach § 155 Absatz 4 und 5 des Fünften Buches Sozialgesetzbuch auf die Krankenkassen der Kassenart aufzuteilen sind, der die geschlossene Krankenkasse angehört hat. Handelt es sich bei der Krankenkasse um eine Betriebs- oder Innungskrankenkasse und enthält die Satzung dieser Krankenkasse keine Regelung nach § 173 Absatz 2 Satz 1 Nummer 4 des Fünften Buches Sozialgesetzbuch, gilt die Verordnung nur für die Verpflichtungen, die auch nicht aus dem Vermögen des Arbeitgebers oder der Innung erfüllt werden können.</w:t>
      </w:r>
    </w:p>
    <w:p>
      <w:r>
        <w:t xml:space="preserve">(3) Im Insolvenzfall gilt die Verordnung für die Verpflichtungen der Krankenkasse, für die der Spitzenverband Bund der Krankenkassen nach § 171d des Fünften Buches Sozialgesetzbuch haftet und die nicht aus dem Vermögen oder der Insolvenzmasse befriedigt werden können.</w:t>
      </w:r>
    </w:p>
    <w:p>
      <w:r>
        <w:rPr>
          <w:color w:val="555555"/>
          <w:sz w:val="17"/>
        </w:rPr>
        <w:t xml:space="preserve">Zitiervorschlag: § 1 KKInsoV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https://recht.nulegal.eu/gesetze/KKInsoV/1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