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KKG — Mitteilungen an das Jugendamt</w:t>
      </w:r>
    </w:p>
    <w:p>
      <w:r>
        <w:rPr>
          <w:color w:val="555555"/>
          <w:sz w:val="18"/>
        </w:rPr>
        <w:t xml:space="preserve">Gesetz zur Kooperation und Information im Kinderschutz</w:t>
      </w:r>
    </w:p>
    <w:p>
      <w:r>
        <w:rPr>
          <w:color w:val="555555"/>
          <w:sz w:val="18"/>
        </w:rPr>
        <w:t xml:space="preserve">Stand: 23.06.2021 (konsolidierte Textfassung, kein amtliches Inkrafttretensdatum)</w:t>
      </w:r>
    </w:p>
    <w:p>
      <w:r>
        <w:t xml:space="preserve">(1) Werden in einem Strafverfahren gewichtige Anhaltspunkte für die Gefährdung des Wohls eines Kindes oder eines Jugendlichen bekannt, informiert die Strafverfolgungsbehörde oder das Gericht unverzüglich den zuständigen örtlichen Träger der öffentlichen Jugendhilfe sowie im Falle seiner Zuständigkeit den überörtlichen Träger der öffentlichen Jugendhilfe und übermittelt die aus ihrer Sicht zur Einschätzung des Gefährdungsrisikos erforderlichen Daten. Die Mitteilung ordnen Richterinnen oder Richter, Staatsanwältinnen oder Staatsanwälte an. § 4 Absatz 2 gilt entsprechend.</w:t>
      </w:r>
    </w:p>
    <w:p>
      <w:r>
        <w:t xml:space="preserve">(2) Gewichtige Anhaltspunkte für eine Gefährdung können insbesondere dann vorliegen, wenn gegen eine Person, die mit einem Kind oder Jugendlichen in häuslicher Gemeinschaft lebt oder die regelmäßig Umgang mit ihm hat oder haben wird, der Verdacht besteht, eine Straftat nach den §§ 171, 174, 176 bis 180, 182, 184b bis 184e, 225, 232 bis 233a, 234, 235 oder 236 des Strafgesetzbuchs begangen zu haben.</w:t>
      </w:r>
    </w:p>
    <w:p>
      <w:r>
        <w:rPr>
          <w:color w:val="555555"/>
          <w:sz w:val="17"/>
        </w:rPr>
        <w:t xml:space="preserve">Zitiervorschlag: § 5 KKG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