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KK-AltRückV — Abgrenzung der Altersversorgungsverpflichtungen</w:t>
      </w:r>
    </w:p>
    <w:p>
      <w:r>
        <w:rPr>
          <w:color w:val="555555"/>
          <w:sz w:val="18"/>
        </w:rPr>
        <w:t xml:space="preserve">Krankenkassen-Altersrückstellungsverordnung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Altersrückstellungen und Deckungskapital für Altersversorgungsverpflichtungen nach § 170 Absatz 1 Satz 1 und 2 des Fünften Buches Sozialgesetzbuch sind für unmittelbare Zusagen auf eine betriebliche Altersversorgung (Direktzusagen), für Zusagen auf eine betriebliche Altersversorgung, die von einer Unterstützungskasse durchgeführt wird, sowie für Beihilfeverpflichtungen zu bilden.</w:t>
      </w:r>
    </w:p>
    <w:p>
      <w:r>
        <w:rPr>
          <w:color w:val="555555"/>
          <w:sz w:val="17"/>
        </w:rPr>
        <w:t xml:space="preserve">Zitiervorschlag: § 2 KK-AltRückV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https://recht.nulegal.eu/gesetze/KK-AltR%C3%BCckV/2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