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KKÜNOG — Moratorium für die Öffnung neu errichteter Betriebs- und Innungskrankenkassen</w:t>
      </w:r>
    </w:p>
    <w:p>
      <w:r>
        <w:rPr>
          <w:color w:val="555555"/>
          <w:sz w:val="18"/>
        </w:rPr>
        <w:t xml:space="preserve">Gesetz zu Übergangsregelungen zur Neuorganisation der vertragsärztlichen Selbstverwaltung und Organisation der Krankenkassen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Neu errichtete Betriebs- und Innungskrankenkassen, bei denen die Abstimmung nach § 148 Abs. 2 und § 158 Abs. 2 des Fünften Buches Sozialgesetzbuch am 9. September 2003 noch nicht durchgeführt worden ist, können bis zum 31. Dezember 2008 in ihren Satzungen keine Regelungen nach § 173 Abs. 2 Satz 1 Nr. 4 des Fünften Buches Sozialgesetzbuch vorsehen.</w:t>
      </w:r>
    </w:p>
    <w:p>
      <w:r>
        <w:rPr>
          <w:color w:val="555555"/>
          <w:sz w:val="17"/>
        </w:rPr>
        <w:t xml:space="preserve">Zitiervorschlag: § 7 KKÜNOG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https://recht.nulegal.eu/gesetze/KK%C3%9CNOG/7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