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KKÜNOG — Wahl des Vorstandes der Kassenärztlichen Bundesvereinigungen</w:t>
      </w:r>
    </w:p>
    <w:p>
      <w:r>
        <w:rPr>
          <w:color w:val="555555"/>
          <w:sz w:val="18"/>
        </w:rPr>
        <w:t xml:space="preserve">Gesetz zu Übergangsregelungen zur Neuorganisation der vertragsärztlichen Selbstverwaltung und Organisation der Krankenkassen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Vertreterversammlung nach § 4 wählt bis zum 31. März 2005 den Vorstand sowie aus seiner Mitte die Vorsitzende oder den Vorsitzenden des Vorstandes und deren Stellvertreter. § 3 Satz 2 gilt entsprechend. In der konstituierenden Sitzung nach § 4 Satz 3 ist zu bestimmen, wer die Vorstandsaufgaben bis zur Wahl nach Satz 1 wahrnimmt.</w:t>
      </w:r>
    </w:p>
    <w:p>
      <w:r>
        <w:rPr>
          <w:color w:val="555555"/>
          <w:sz w:val="17"/>
        </w:rPr>
        <w:t xml:space="preserve">Zitiervorschlag: § 5 KKÜNOG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https://recht.nulegal.eu/gesetze/KK%C3%9CNOG/5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KKÜNOG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