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20b KJPsychTh-APrV — Fristen, Bescheide, Durchführungsbestimmungen</w:t>
      </w:r>
    </w:p>
    <w:p>
      <w:r>
        <w:rPr>
          <w:color w:val="555555"/>
          <w:sz w:val="18"/>
        </w:rPr>
        <w:t xml:space="preserve">Ausbildungs- und Prüfungsverordnung für Kinder- und Jugendlichenpsychotherapeuten</w:t>
      </w:r>
    </w:p>
    <w:p>
      <w:r>
        <w:rPr>
          <w:color w:val="555555"/>
          <w:sz w:val="18"/>
        </w:rPr>
        <w:t xml:space="preserve">Historische Fassung: Stand 05.03.2020 bis 01.09.2020. Dies ist nicht die aktuelle Fassung.</w:t>
      </w:r>
    </w:p>
    <w:p>
      <w:r>
        <w:t xml:space="preserve">(1) Die zuständige Behörde hat über Anträge auf Erteilung einer Approbation als Kinder- und Jugendlichenpsychotherapeutin oder Kinder- und Jugendlichenpsychotherapeut nach § 1 Absatz 1 Satz 1 des Psychotherapeutengesetzes in Verbindung mit § 2 Absatz 2, 3 oder Absatz 3a des Psychotherapeutengesetzes kurzfristig, spätestens vier Monate, nach Vorlage der Unterlagen nach § 19 zu entscheiden. Im Falle des § 81a des Aufenthaltsgesetzes soll die Entscheidung innerhalb von zwei Monaten erfolgen.</w:t>
      </w:r>
    </w:p>
    <w:p>
      <w:r>
        <w:t xml:space="preserve">(2) Über die Feststellung wesentlicher Unterschiede, die zur Auferlegung einer Kenntnisprüfung, eines Anpassungslehrgangs oder einer Eignungsprüfung führen, ist den Antragstellern ein rechtsmittelfähiger Bescheid zu erteilen, der folgende Angaben enthält:</w:t>
      </w:r>
    </w:p>
    <w:p>
      <w:pPr>
        <w:ind w:left="420"/>
      </w:pPr>
      <w:r>
        <w:t xml:space="preserve">1. das Niveau der in Deutschland verlangten Qualifikation und das Niveau der von den Antragstellern vorgelegten Qualifikation gemäß der Klassifizierung in Artikel 11 der Richtlinie 2005/36/EG des Europäischen Parlaments und des Rates vom 7. September 2005 über die Anerkennung von Berufsqualifikationen (ABl. L 255 vom 30.9.2005, S. 22, L 271 vom 16.10.2007, S. 18) in der jeweils geltenden Fassung,</w:t>
      </w:r>
    </w:p>
    <w:p>
      <w:pPr>
        <w:ind w:left="420"/>
      </w:pPr>
      <w:r>
        <w:t xml:space="preserve">2. die Themenbereiche oder Ausbildungsbestandteile, bei denen wesentliche Unterschiede festgestellt wurden,</w:t>
      </w:r>
    </w:p>
    <w:p>
      <w:pPr>
        <w:ind w:left="420"/>
      </w:pPr>
      <w:r>
        <w:t xml:space="preserve">3. eine inhaltliche Erläuterung der wesentlichen Unterschiede sowie die Begründung, warum diese dazu führen, dass die Antragsteller nicht in ausreichender Form über die in Deutschland zur Ausübung des Berufs der Kinder- und Jugendlichenpsychotherapeuten notwendigen Kenntnisse und Fähigkeiten verfügen, und</w:t>
      </w:r>
    </w:p>
    <w:p>
      <w:pPr>
        <w:ind w:left="420"/>
      </w:pPr>
      <w:r>
        <w:t xml:space="preserve">4. eine Begründung, warum die wesentlichen Unterschiede nicht durch Kenntnisse und Fähigkeiten ausgeglichen werden konnten, die die Antragsteller im Rahmen ihrer nachgewiesenen Berufspraxis oder durch lebenslanges Lernen im Sinne des § 2 Absatz 2 Satz 7 des Psychotherapeutengesetzes erworben haben.</w:t>
      </w:r>
    </w:p>
    <w:p>
      <w:r>
        <w:t xml:space="preserve">(3) Die Eignungsprüfung nach § 20 Absatz 3 und die Kenntnisprüfung nach § 20a Absatz 2 finden in Form einer staatlichen Prüfung vor einer staatlichen Prüfungskommission statt. Die Länder können zur Durchführung der Prüfungen die regulären Prüfungstermine der staatlichen Prüfung nach § 8 Absatz 1 nutzen; sie haben dabei sicherzustellen, dass die Antragsteller die Prüfungen innerhalb von sechs Monaten nach der Entscheidung nach Absatz 1 ablegen können. Soweit in diesem Abschnitt nichts anderes bestimmt ist, gelten die §§ 10, 13 bis 15 für die Durchführung der Prüfungen nach Satz 1 entsprechend.</w:t>
      </w:r>
    </w:p>
    <w:p>
      <w:r>
        <w:rPr>
          <w:color w:val="555555"/>
          <w:sz w:val="17"/>
        </w:rPr>
        <w:t xml:space="preserve">Zitiervorschlag: § 20b KJPsychTh-APrV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https://recht.nulegal.eu/gesetze/KJPsychTh-APrV/20b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20b KJPsychTh-APrV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