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KJPsychTh-APrV — Versäumnisfolgen</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Versäumt ein Prüfling einen Prüfungstermin, gibt er die Aufsichtsarbeit nicht oder nicht rechtzeitig ab oder unterbricht er die Prüfung, so gilt der betreffende Teil der Prüfung als nicht bestanden, wenn nicht ein wichtiger Grund vorliegt; § 12 Abs. 3 gilt entsprechend. Liegt ein wichtiger Grund vor, so gilt der betreffende Teil der Prüfung als nicht unternommen.</w:t>
      </w:r>
    </w:p>
    <w:p>
      <w:r>
        <w:t xml:space="preserve">(2) Die Entscheidung darüber, ob ein wichtiger Grund vorliegt, trifft die zuständige Behörde. § 13 Abs. 1 Satz 1 und 4 gilt entsprechend.</w:t>
      </w:r>
    </w:p>
    <w:p>
      <w:r>
        <w:rPr>
          <w:color w:val="555555"/>
          <w:sz w:val="17"/>
        </w:rPr>
        <w:t xml:space="preserve">Zitiervorschlag: § 14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