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KJHG — Stadtstaatenklausel</w:t>
      </w:r>
    </w:p>
    <w:p>
      <w:r>
        <w:rPr>
          <w:color w:val="555555"/>
          <w:sz w:val="18"/>
        </w:rPr>
        <w:t xml:space="preserve">Kinder- und Jugendhilfegesetz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Berlin, Bremen und Hamburg können zur Anpassung an ihren besonderen Verwaltungsaufbau abweichen von den Vorschriften dieses Gesetzes über</w:t>
      </w:r>
    </w:p>
    <w:p>
      <w:pPr>
        <w:ind w:left="420"/>
      </w:pPr>
      <w:r>
        <w:t xml:space="preserve">1. die Träger der öffentlichen Jugendhilfe und ihre Zuständigkeiten,</w:t>
      </w:r>
    </w:p>
    <w:p>
      <w:pPr>
        <w:ind w:left="420"/>
      </w:pPr>
      <w:r>
        <w:t xml:space="preserve">2. die Errichtung von Jugendämtern und</w:t>
      </w:r>
    </w:p>
    <w:p>
      <w:pPr>
        <w:ind w:left="420"/>
      </w:pPr>
      <w:r>
        <w:t xml:space="preserve">3. die Bildung, Zusammensetzung und die Befugnisse von Jugendhilfe- und Landesjugendhilfeausschüssen; dabei haben sie für eine angemessene Beteiligung der anerkannten Träger der freien Jugendhilfe zu sorgen.</w:t>
      </w:r>
    </w:p>
    <w:p>
      <w:r>
        <w:rPr>
          <w:color w:val="555555"/>
          <w:sz w:val="17"/>
        </w:rPr>
        <w:t xml:space="preserve">Zitiervorschlag: Art 22 KJHG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https://recht.nulegal.eu/gesetze/KJHG/22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