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KJHG — Einschränkung von Grundrechten</w:t>
      </w:r>
    </w:p>
    <w:p>
      <w:r>
        <w:rPr>
          <w:color w:val="555555"/>
          <w:sz w:val="18"/>
        </w:rPr>
        <w:t xml:space="preserve">Kinder- und Jugendhilfegesetz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Grundrechte der Freiheit der Person (Artikel 2 Abs. 2 Satz 2 des Grundgesetzes), der Freizügigkeit (Artikel 11 des Grundgesetzes) und der Unverletzlichkeit der Wohnung (Artikel 13 des Grundgesetzes) werden nach Maßgabe dieses Gesetzes eingeschränkt.</w:t>
      </w:r>
    </w:p>
    <w:p>
      <w:r>
        <w:rPr>
          <w:color w:val="555555"/>
          <w:sz w:val="17"/>
        </w:rPr>
        <w:t xml:space="preserve">Zitiervorschlag: Art 20 KJHG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https://recht.nulegal.eu/gesetze/KJHG/20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