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 KJHG — Fortgeltung von Verwaltungsakten</w:t>
      </w:r>
    </w:p>
    <w:p>
      <w:r>
        <w:rPr>
          <w:color w:val="555555"/>
          <w:sz w:val="18"/>
        </w:rPr>
        <w:t xml:space="preserve">Kinder- und Jugendhilfegesetz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dem Tag des Inkrafttretens dieses Gesetzes gelten fort:</w:t>
      </w:r>
    </w:p>
    <w:p>
      <w:pPr>
        <w:ind w:left="420"/>
      </w:pPr>
      <w:r>
        <w:t xml:space="preserve">1. eine aufgrund des § 9 des Gesetzes für Jugendwohlfahrt erteilte Anerkennung eines Trägers der freien Jugendhilfe als Anerkennung nach Artikel 1 § 75 Abs. 1 dieses Gesetzes,</w:t>
      </w:r>
    </w:p>
    <w:p>
      <w:pPr>
        <w:ind w:left="420"/>
      </w:pPr>
      <w:r>
        <w:t xml:space="preserve">2. eine aufgrund des § 12 Abs. 3 des Gesetzes für Jugendwohlfahrt erteilte Zulassung eines kreisangehörigen Jugendamts als Zulassung nach Artikel 1 § 69 Abs. 2 Satz 1 dieses Gesetzes,</w:t>
      </w:r>
    </w:p>
    <w:p>
      <w:pPr>
        <w:ind w:left="420"/>
      </w:pPr>
      <w:r>
        <w:t xml:space="preserve">3. eine aufgrund der §§ 28 und 29 des Gesetzes für Jugendwohlfahrt erteilte Pflegeerlaubnis nach Artikel 1 § 44 dieses Gesetzes,</w:t>
      </w:r>
    </w:p>
    <w:p>
      <w:pPr>
        <w:ind w:left="420"/>
      </w:pPr>
      <w:r>
        <w:t xml:space="preserve">4. eine aufgrund des § 53 des Gesetzes für Jugendwohlfahrt erteilte Eignungserklärung als Erlaubnis nach Artikel 1 § 54 Abs. 2 dieses Gesetzes.</w:t>
      </w:r>
    </w:p>
    <w:p>
      <w:r>
        <w:rPr>
          <w:color w:val="555555"/>
          <w:sz w:val="17"/>
        </w:rPr>
        <w:t xml:space="preserve">Zitiervorschlag: Art 16 KJHG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https://recht.nulegal.eu/gesetze/KJHG/16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