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KJHG — Jugendhilfeausschuß, Landesjugendhilfeausschuß</w:t>
      </w:r>
    </w:p>
    <w:p>
      <w:r>
        <w:rPr>
          <w:color w:val="555555"/>
          <w:sz w:val="18"/>
        </w:rPr>
        <w:t xml:space="preserve">Kinder- und Jugendhilfegesetz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am Tage des Inkrafttretens dieses Gesetzes bestehender und nach § 14 des Gesetzes für Jugendwohlfahrt zusammengesetzter Jugendwohlfahrtsausschuß gilt als Jugendhilfeausschuß, bis sich die erstmals nach diesem Zeitpunkt gewählte Vertretungskörperschaft konstituiert hat.</w:t>
      </w:r>
    </w:p>
    <w:p>
      <w:r>
        <w:t xml:space="preserve">(2) Ein am Tage des Inkrafttretens dieses Gesetzes bestehender und nach § 21 Abs. 3 des Gesetzes für Jugendwohlfahrt zusammengesetzter Landesjugendwohlfahrtsausschuß gilt als Landesjugendhilfeausschuß, bis aufgrund landesrechtlicher Regelung ein neuer Landesjugendhilfeausschuß gebildet wird.</w:t>
      </w:r>
    </w:p>
    <w:p>
      <w:r>
        <w:rPr>
          <w:color w:val="555555"/>
          <w:sz w:val="17"/>
        </w:rPr>
        <w:t xml:space="preserve">Zitiervorschlag: Art 13 KJHG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