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KJHG — Fortführung einer Einrichtung</w:t>
      </w:r>
    </w:p>
    <w:p>
      <w:r>
        <w:rPr>
          <w:color w:val="555555"/>
          <w:sz w:val="18"/>
        </w:rPr>
        <w:t xml:space="preserve">Kinder- und Jugendhilfegesetz</w:t>
      </w:r>
    </w:p>
    <w:p>
      <w:r>
        <w:rPr>
          <w:color w:val="555555"/>
          <w:sz w:val="18"/>
        </w:rPr>
        <w:t xml:space="preserve">Stand: 10.06.2019 (konsolidierte Textfassung, kein amtliches Inkrafttretensdatum)</w:t>
      </w:r>
    </w:p>
    <w:p>
      <w:r>
        <w:t xml:space="preserve">(1) Für Einrichtungen, die vor dem Tage des Inkrafttretens dieses Gesetzes in Betrieb genommen worden sind, gelten die nachstehenden besonderen Vorschriften.</w:t>
      </w:r>
    </w:p>
    <w:p>
      <w:r>
        <w:t xml:space="preserve">(2) Für Einrichtungen, die nach § 79 Abs. 2 des Gesetzes für Jugendwohlfahrt in der Fassung der Bekanntmachung vom 25. April 1977 (BGBl. I S. 633, 795), das zuletzt durch Artikel 6 § 8 des Gesetzes vom 25. Juli 1986 (BGBl. I S. 1142) geändert worden ist, von der Anwendung des § 28 des Gesetzes für Jugendwohlfahrt in der genannten Fassung widerruflich befreit sind, gilt die Befreiung als Erlaubnis nach Artikel 1 § 45.</w:t>
      </w:r>
    </w:p>
    <w:p>
      <w:r>
        <w:t xml:space="preserve">(3) Eine am Tage des Inkrafttretens dieses Gesetzes bestehende Einrichtung, zu deren Betrieb der Träger einer Erlaubnis nach Artikel 1 § 45 bedarf, darf ohne diese Erlaubnis weiterbetrieben werden, sofern die Erlaubnis unverzüglich beantragt wird. Bis zum Abschluß des Erlaubniserteilungsverfahrens kann die nach Landesrecht zuständige Behörde den Betrieb einer solchen Einrichtung untersagen, wenn Tatsachen festgestellt werden, die geeignet sind, das leibliche, geistige oder seelische Wohl der in der Einrichtung betreuten Kinder und Jugendlichen zu gefährden und eine unverzügliche Beseitigung der Gefährdung nicht zu erwarten ist.</w:t>
      </w:r>
    </w:p>
    <w:p>
      <w:r>
        <w:rPr>
          <w:color w:val="555555"/>
          <w:sz w:val="17"/>
        </w:rPr>
        <w:t xml:space="preserve">Zitiervorschlag: Art 12 KJHG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