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 KJHG — Übergangsvorschrift für Leistungen an seelisch behinderte junge Menschen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Artikel 1 § 10 Abs. 2 Satz 2 und § 35a gehen bis zum 31. Dezember 1994 auch für junge Menschen, die seelisch behindert oder von einer solchen Behinderung bedroht sind, die Leistungen der Eingliederungshilfe nach dem Bundessozialhilfegesetz vor.</w:t>
      </w:r>
    </w:p>
    <w:p>
      <w:r>
        <w:t xml:space="preserve">(2) Landesrecht kann die Geltung von Absatz 1 ausschließen oder eine andere Übergangsfrist vorsehen.</w:t>
      </w:r>
    </w:p>
    <w:p>
      <w:r>
        <w:rPr>
          <w:color w:val="555555"/>
          <w:sz w:val="17"/>
        </w:rPr>
        <w:t xml:space="preserve">Zitiervorschlag: Art 11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