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KJGDV (Brandenburg)</w:t>
      </w:r>
    </w:p>
    <w:p>
      <w:r>
        <w:rPr>
          <w:color w:val="555555"/>
          <w:sz w:val="18"/>
        </w:rPr>
        <w:t xml:space="preserve">Kinder- und Jugendgesundheitsdienst-Verordnung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Untersuchungen nach § 1 sind in den Kindertagesstätten und Schulen vorzunehmen. Sie können bei Bedarf auch im Gesundheitsamt oder Kindertagespflegestellen durchgeführt werden.</w:t>
      </w:r>
    </w:p>
    <w:p>
      <w:r>
        <w:t xml:space="preserve">(2) Die Kinder- und Jugendgesundheitsdienste stimmen mit den in Absatz 1 genannten Einrichtungen die Organisation der Untersuchungen rechtzeitig ab und wirken auf eine frühzeitige Unterrichtung der Sorgeberechtigten hin.</w:t>
      </w:r>
    </w:p>
    <w:p>
      <w:r>
        <w:t xml:space="preserve">(3) Während der Untersuchungen nach § 1 Absatz 2 soll eine sozialpädagogische Fachkraft der Kindertageseinrichtung anwesend sein. Die Sorgeberechtigten können an der Untersuchung ihres Kindes teilnehmen, welches in diesem Fall einzeln zu untersuchen ist.</w:t>
      </w:r>
    </w:p>
    <w:p>
      <w:r>
        <w:t xml:space="preserve">§ 5</w:t>
      </w:r>
    </w:p>
    <w:p>
      <w:r>
        <w:t xml:space="preserve">Diese Verordnung tritt am Tag nach der Verkündung in Kraft. Gleichzeitig tritt die Kinder- und Jugendgesundheitsdienst-Verordnung vom 25. Februar 1997 (GVBl. II S. 96), die zuletzt durch Verordnung vom 7. Juli 2005 (GVBl. II S. 394) geändert worden ist, außer Kraft.</w:t>
      </w:r>
    </w:p>
    <w:p>
      <w:r>
        <w:t xml:space="preserve">Potsdam, den 18. August 2009</w:t>
      </w:r>
    </w:p>
    <w:p>
      <w:r>
        <w:t xml:space="preserve">Die Ministerin für Arbeit,</w:t>
      </w:r>
    </w:p>
    <w:p>
      <w:r>
        <w:t xml:space="preserve">Soziales, Gesundheit und Familie</w:t>
      </w:r>
    </w:p>
    <w:p>
      <w:r>
        <w:t xml:space="preserve">In Vertretung</w:t>
      </w:r>
    </w:p>
    <w:p>
      <w:r>
        <w:t xml:space="preserve">Winfrid Alber</w:t>
      </w:r>
    </w:p>
    <w:p>
      <w:r>
        <w:rPr>
          <w:color w:val="555555"/>
          <w:sz w:val="17"/>
        </w:rPr>
        <w:t xml:space="preserve">Zitiervorschlag: § 4 KJGDV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https://recht.nulegal.eu/gesetze/KJGDV/4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